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8159" w14:textId="7B21F605" w:rsidR="009F457C" w:rsidRDefault="00F97252" w:rsidP="00326367">
      <w:pPr>
        <w:rPr>
          <w:rFonts w:ascii="Verdana" w:hAnsi="Verdana"/>
          <w:b/>
        </w:rPr>
      </w:pPr>
      <w:r>
        <w:rPr>
          <w:rFonts w:ascii="Verdana" w:hAnsi="Verdana"/>
          <w:b/>
        </w:rPr>
        <w:t xml:space="preserve">NHBRC Managed Infrastructure Services </w:t>
      </w:r>
      <w:r w:rsidR="009F457C">
        <w:rPr>
          <w:rFonts w:ascii="Verdana" w:hAnsi="Verdana"/>
          <w:b/>
        </w:rPr>
        <w:t>RF</w:t>
      </w:r>
      <w:r>
        <w:rPr>
          <w:rFonts w:ascii="Verdana" w:hAnsi="Verdana"/>
          <w:b/>
        </w:rPr>
        <w:t>P</w:t>
      </w:r>
    </w:p>
    <w:p w14:paraId="3E6B4B17" w14:textId="02C6BB37" w:rsidR="00913186" w:rsidRDefault="009F457C" w:rsidP="003F4DF1">
      <w:pPr>
        <w:jc w:val="center"/>
        <w:rPr>
          <w:rFonts w:ascii="Verdana" w:hAnsi="Verdana"/>
          <w:b/>
        </w:rPr>
      </w:pPr>
      <w:r>
        <w:rPr>
          <w:rFonts w:ascii="Verdana" w:hAnsi="Verdana"/>
          <w:b/>
        </w:rPr>
        <w:t>Questions</w:t>
      </w:r>
    </w:p>
    <w:p w14:paraId="4E923572" w14:textId="5A194575" w:rsidR="009F457C" w:rsidRDefault="009F457C">
      <w:pPr>
        <w:rPr>
          <w:rFonts w:ascii="Verdana" w:hAnsi="Verdana"/>
        </w:rPr>
      </w:pPr>
    </w:p>
    <w:p w14:paraId="168A7AB0" w14:textId="77777777" w:rsidR="009F457C" w:rsidRPr="00E51CE8" w:rsidRDefault="009F457C">
      <w:pPr>
        <w:rPr>
          <w:rFonts w:ascii="Verdana" w:hAnsi="Verdan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3"/>
        <w:gridCol w:w="1785"/>
        <w:gridCol w:w="5845"/>
        <w:gridCol w:w="6493"/>
      </w:tblGrid>
      <w:tr w:rsidR="009F457C" w:rsidRPr="009F457C" w14:paraId="3E6B4B1D" w14:textId="77777777" w:rsidTr="69D00EF1">
        <w:trPr>
          <w:tblHeader/>
        </w:trPr>
        <w:tc>
          <w:tcPr>
            <w:tcW w:w="624" w:type="dxa"/>
            <w:tcBorders>
              <w:right w:val="nil"/>
            </w:tcBorders>
            <w:shd w:val="clear" w:color="auto" w:fill="1F4E78"/>
            <w:tcMar>
              <w:top w:w="90" w:type="dxa"/>
              <w:left w:w="90" w:type="dxa"/>
              <w:bottom w:w="90" w:type="dxa"/>
              <w:right w:w="90" w:type="dxa"/>
            </w:tcMar>
          </w:tcPr>
          <w:p w14:paraId="3E6B4B19" w14:textId="6FF976B7" w:rsidR="00913186" w:rsidRPr="009F457C" w:rsidRDefault="009F457C">
            <w:pPr>
              <w:jc w:val="center"/>
              <w:rPr>
                <w:rFonts w:ascii="Arial" w:hAnsi="Arial" w:cs="Arial"/>
                <w:b/>
                <w:sz w:val="20"/>
                <w:szCs w:val="20"/>
              </w:rPr>
            </w:pPr>
            <w:r w:rsidRPr="009F457C">
              <w:rPr>
                <w:rFonts w:ascii="Arial" w:hAnsi="Arial" w:cs="Arial"/>
                <w:b/>
                <w:color w:val="FFFFFF"/>
                <w:sz w:val="18"/>
                <w:szCs w:val="20"/>
              </w:rPr>
              <w:t>Number</w:t>
            </w:r>
          </w:p>
        </w:tc>
        <w:tc>
          <w:tcPr>
            <w:tcW w:w="1247" w:type="dxa"/>
            <w:tcBorders>
              <w:left w:val="nil"/>
              <w:right w:val="nil"/>
            </w:tcBorders>
            <w:shd w:val="clear" w:color="auto" w:fill="1F4E78"/>
            <w:tcMar>
              <w:top w:w="90" w:type="dxa"/>
              <w:left w:w="90" w:type="dxa"/>
              <w:bottom w:w="90" w:type="dxa"/>
              <w:right w:w="90" w:type="dxa"/>
            </w:tcMar>
          </w:tcPr>
          <w:p w14:paraId="3E6B4B1A" w14:textId="14E8E43F" w:rsidR="00913186" w:rsidRPr="009F457C" w:rsidRDefault="009F457C">
            <w:pPr>
              <w:jc w:val="center"/>
              <w:rPr>
                <w:rFonts w:ascii="Arial" w:hAnsi="Arial" w:cs="Arial"/>
                <w:sz w:val="20"/>
                <w:szCs w:val="20"/>
              </w:rPr>
            </w:pPr>
            <w:r w:rsidRPr="009F457C">
              <w:rPr>
                <w:rFonts w:ascii="Arial" w:hAnsi="Arial" w:cs="Arial"/>
                <w:b/>
                <w:color w:val="FFFFFF"/>
                <w:sz w:val="18"/>
                <w:szCs w:val="20"/>
              </w:rPr>
              <w:t>Reference</w:t>
            </w:r>
          </w:p>
        </w:tc>
        <w:tc>
          <w:tcPr>
            <w:tcW w:w="4082" w:type="dxa"/>
            <w:tcBorders>
              <w:left w:val="nil"/>
              <w:right w:val="nil"/>
            </w:tcBorders>
            <w:shd w:val="clear" w:color="auto" w:fill="1F4E78"/>
            <w:tcMar>
              <w:top w:w="90" w:type="dxa"/>
              <w:left w:w="90" w:type="dxa"/>
              <w:bottom w:w="90" w:type="dxa"/>
              <w:right w:w="90" w:type="dxa"/>
            </w:tcMar>
          </w:tcPr>
          <w:p w14:paraId="3E6B4B1B" w14:textId="2B882654" w:rsidR="00913186" w:rsidRPr="009F457C" w:rsidRDefault="009F457C">
            <w:pPr>
              <w:jc w:val="center"/>
              <w:rPr>
                <w:rFonts w:ascii="Arial" w:hAnsi="Arial" w:cs="Arial"/>
                <w:sz w:val="20"/>
                <w:szCs w:val="20"/>
              </w:rPr>
            </w:pPr>
            <w:r w:rsidRPr="009F457C">
              <w:rPr>
                <w:rFonts w:ascii="Arial" w:hAnsi="Arial" w:cs="Arial"/>
                <w:b/>
                <w:color w:val="FFFFFF"/>
                <w:sz w:val="18"/>
                <w:szCs w:val="20"/>
              </w:rPr>
              <w:t>Question</w:t>
            </w:r>
          </w:p>
        </w:tc>
        <w:tc>
          <w:tcPr>
            <w:tcW w:w="4535" w:type="dxa"/>
            <w:tcBorders>
              <w:left w:val="nil"/>
            </w:tcBorders>
            <w:shd w:val="clear" w:color="auto" w:fill="1F4E78"/>
            <w:tcMar>
              <w:top w:w="90" w:type="dxa"/>
              <w:left w:w="90" w:type="dxa"/>
              <w:bottom w:w="90" w:type="dxa"/>
              <w:right w:w="90" w:type="dxa"/>
            </w:tcMar>
          </w:tcPr>
          <w:p w14:paraId="3E6B4B1C" w14:textId="3205D5A2" w:rsidR="00913186" w:rsidRPr="009F457C" w:rsidRDefault="009F457C">
            <w:pPr>
              <w:jc w:val="center"/>
              <w:rPr>
                <w:rFonts w:ascii="Arial" w:hAnsi="Arial" w:cs="Arial"/>
                <w:sz w:val="20"/>
                <w:szCs w:val="20"/>
              </w:rPr>
            </w:pPr>
            <w:r w:rsidRPr="009F457C">
              <w:rPr>
                <w:rFonts w:ascii="Arial" w:hAnsi="Arial" w:cs="Arial"/>
                <w:b/>
                <w:color w:val="FFFFFF"/>
                <w:sz w:val="18"/>
                <w:szCs w:val="20"/>
              </w:rPr>
              <w:t>Response</w:t>
            </w:r>
          </w:p>
        </w:tc>
      </w:tr>
      <w:tr w:rsidR="009F457C" w:rsidRPr="009F457C" w14:paraId="3E6B4B22" w14:textId="77777777" w:rsidTr="69D00EF1">
        <w:trPr>
          <w:trHeight w:val="330"/>
        </w:trPr>
        <w:tc>
          <w:tcPr>
            <w:tcW w:w="624" w:type="dxa"/>
            <w:tcMar>
              <w:top w:w="90" w:type="dxa"/>
              <w:left w:w="90" w:type="dxa"/>
              <w:bottom w:w="90" w:type="dxa"/>
              <w:right w:w="90" w:type="dxa"/>
            </w:tcMar>
          </w:tcPr>
          <w:p w14:paraId="3E6B4B1E" w14:textId="20F648A2" w:rsidR="00913186" w:rsidRPr="009F457C" w:rsidRDefault="00A04F47" w:rsidP="009D282D">
            <w:pPr>
              <w:rPr>
                <w:rFonts w:ascii="Arial" w:hAnsi="Arial" w:cs="Arial"/>
                <w:sz w:val="20"/>
                <w:szCs w:val="20"/>
              </w:rPr>
            </w:pPr>
            <w:r>
              <w:rPr>
                <w:rFonts w:ascii="Arial" w:hAnsi="Arial" w:cs="Arial"/>
                <w:sz w:val="16"/>
                <w:szCs w:val="20"/>
              </w:rPr>
              <w:t>1</w:t>
            </w:r>
          </w:p>
        </w:tc>
        <w:tc>
          <w:tcPr>
            <w:tcW w:w="1247" w:type="dxa"/>
            <w:tcMar>
              <w:top w:w="90" w:type="dxa"/>
              <w:left w:w="90" w:type="dxa"/>
              <w:bottom w:w="90" w:type="dxa"/>
              <w:right w:w="90" w:type="dxa"/>
            </w:tcMar>
          </w:tcPr>
          <w:p w14:paraId="3E6B4B1F" w14:textId="77777777" w:rsidR="00913186" w:rsidRPr="009F457C" w:rsidRDefault="00913186" w:rsidP="009D282D">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E6B4B20" w14:textId="3098B692" w:rsidR="00913186" w:rsidRPr="009F457C" w:rsidRDefault="00A05DA6" w:rsidP="360273D8">
            <w:pPr>
              <w:rPr>
                <w:rFonts w:ascii="Arial" w:eastAsia="Arial" w:hAnsi="Arial" w:cs="Arial"/>
                <w:sz w:val="20"/>
                <w:szCs w:val="20"/>
              </w:rPr>
            </w:pPr>
            <w:r w:rsidRPr="360273D8">
              <w:rPr>
                <w:rFonts w:ascii="Arial" w:eastAsia="Arial" w:hAnsi="Arial" w:cs="Arial"/>
                <w:sz w:val="16"/>
                <w:szCs w:val="20"/>
              </w:rPr>
              <w:t>I</w:t>
            </w:r>
            <w:r w:rsidR="0059330C" w:rsidRPr="360273D8">
              <w:rPr>
                <w:rFonts w:ascii="Arial" w:eastAsia="Arial" w:hAnsi="Arial" w:cs="Arial"/>
                <w:sz w:val="16"/>
                <w:szCs w:val="20"/>
              </w:rPr>
              <w:t xml:space="preserve">s </w:t>
            </w:r>
            <w:r w:rsidR="00121950" w:rsidRPr="360273D8">
              <w:rPr>
                <w:rFonts w:ascii="Arial" w:eastAsia="Arial" w:hAnsi="Arial" w:cs="Arial"/>
                <w:sz w:val="16"/>
                <w:szCs w:val="20"/>
              </w:rPr>
              <w:t>S</w:t>
            </w:r>
            <w:r w:rsidR="009F121F" w:rsidRPr="360273D8">
              <w:rPr>
                <w:rFonts w:ascii="Arial" w:eastAsia="Arial" w:hAnsi="Arial" w:cs="Arial"/>
                <w:sz w:val="16"/>
                <w:szCs w:val="20"/>
              </w:rPr>
              <w:t>MME</w:t>
            </w:r>
            <w:r w:rsidR="007D5229" w:rsidRPr="360273D8">
              <w:rPr>
                <w:rFonts w:ascii="Arial" w:eastAsia="Arial" w:hAnsi="Arial" w:cs="Arial"/>
                <w:sz w:val="16"/>
                <w:szCs w:val="20"/>
              </w:rPr>
              <w:t xml:space="preserve"> </w:t>
            </w:r>
            <w:r w:rsidR="009D3D52" w:rsidRPr="360273D8">
              <w:rPr>
                <w:rFonts w:ascii="Arial" w:eastAsia="Arial" w:hAnsi="Arial" w:cs="Arial"/>
                <w:sz w:val="16"/>
                <w:szCs w:val="20"/>
              </w:rPr>
              <w:t>s</w:t>
            </w:r>
            <w:r w:rsidR="00927AF9" w:rsidRPr="360273D8">
              <w:rPr>
                <w:rFonts w:ascii="Arial" w:eastAsia="Arial" w:hAnsi="Arial" w:cs="Arial"/>
                <w:sz w:val="16"/>
                <w:szCs w:val="20"/>
              </w:rPr>
              <w:t>ubc</w:t>
            </w:r>
            <w:r w:rsidR="009E3B7F" w:rsidRPr="360273D8">
              <w:rPr>
                <w:rFonts w:ascii="Arial" w:eastAsia="Arial" w:hAnsi="Arial" w:cs="Arial"/>
                <w:sz w:val="16"/>
                <w:szCs w:val="20"/>
              </w:rPr>
              <w:t>ontr</w:t>
            </w:r>
            <w:r w:rsidR="00670546" w:rsidRPr="360273D8">
              <w:rPr>
                <w:rFonts w:ascii="Arial" w:eastAsia="Arial" w:hAnsi="Arial" w:cs="Arial"/>
                <w:sz w:val="16"/>
                <w:szCs w:val="20"/>
              </w:rPr>
              <w:t xml:space="preserve">acting </w:t>
            </w:r>
            <w:r w:rsidR="009F33C5" w:rsidRPr="360273D8">
              <w:rPr>
                <w:rFonts w:ascii="Arial" w:eastAsia="Arial" w:hAnsi="Arial" w:cs="Arial"/>
                <w:sz w:val="16"/>
                <w:szCs w:val="20"/>
              </w:rPr>
              <w:t>a mand</w:t>
            </w:r>
            <w:r w:rsidR="00E11236" w:rsidRPr="360273D8">
              <w:rPr>
                <w:rFonts w:ascii="Arial" w:eastAsia="Arial" w:hAnsi="Arial" w:cs="Arial"/>
                <w:sz w:val="16"/>
                <w:szCs w:val="20"/>
              </w:rPr>
              <w:t>atory</w:t>
            </w:r>
            <w:r w:rsidR="00393519" w:rsidRPr="360273D8">
              <w:rPr>
                <w:rFonts w:ascii="Arial" w:eastAsia="Arial" w:hAnsi="Arial" w:cs="Arial"/>
                <w:sz w:val="16"/>
                <w:szCs w:val="20"/>
              </w:rPr>
              <w:t xml:space="preserve"> </w:t>
            </w:r>
            <w:r w:rsidR="002B5EA1" w:rsidRPr="360273D8">
              <w:rPr>
                <w:rFonts w:ascii="Arial" w:eastAsia="Arial" w:hAnsi="Arial" w:cs="Arial"/>
                <w:sz w:val="16"/>
                <w:szCs w:val="20"/>
              </w:rPr>
              <w:t>requ</w:t>
            </w:r>
            <w:r w:rsidR="00851B43" w:rsidRPr="360273D8">
              <w:rPr>
                <w:rFonts w:ascii="Arial" w:eastAsia="Arial" w:hAnsi="Arial" w:cs="Arial"/>
                <w:sz w:val="16"/>
                <w:szCs w:val="20"/>
              </w:rPr>
              <w:t>irement</w:t>
            </w:r>
            <w:r w:rsidR="00B12099" w:rsidRPr="360273D8">
              <w:rPr>
                <w:rFonts w:ascii="Arial" w:eastAsia="Arial" w:hAnsi="Arial" w:cs="Arial"/>
                <w:sz w:val="16"/>
                <w:szCs w:val="20"/>
              </w:rPr>
              <w:t>?</w:t>
            </w:r>
          </w:p>
        </w:tc>
        <w:tc>
          <w:tcPr>
            <w:tcW w:w="4535" w:type="dxa"/>
            <w:tcMar>
              <w:top w:w="90" w:type="dxa"/>
              <w:left w:w="90" w:type="dxa"/>
              <w:bottom w:w="90" w:type="dxa"/>
              <w:right w:w="90" w:type="dxa"/>
            </w:tcMar>
          </w:tcPr>
          <w:p w14:paraId="025509C2" w14:textId="7CCF7C61" w:rsidR="00A46E52" w:rsidRDefault="00772C46">
            <w:r>
              <w:rPr>
                <w:rFonts w:ascii="Arial" w:hAnsi="Arial"/>
                <w:sz w:val="16"/>
              </w:rPr>
              <w:t>No</w:t>
            </w:r>
          </w:p>
        </w:tc>
      </w:tr>
      <w:tr w:rsidR="009F457C" w:rsidRPr="009F457C" w14:paraId="3E6B4B27" w14:textId="77777777" w:rsidTr="69D00EF1">
        <w:tc>
          <w:tcPr>
            <w:tcW w:w="624" w:type="dxa"/>
            <w:tcMar>
              <w:top w:w="90" w:type="dxa"/>
              <w:left w:w="90" w:type="dxa"/>
              <w:bottom w:w="90" w:type="dxa"/>
              <w:right w:w="90" w:type="dxa"/>
            </w:tcMar>
          </w:tcPr>
          <w:p w14:paraId="3E6B4B23" w14:textId="59C5CB8F" w:rsidR="00913186" w:rsidRPr="009F457C" w:rsidRDefault="5600D1B2" w:rsidP="009D282D">
            <w:r w:rsidRPr="2C375C91">
              <w:rPr>
                <w:rFonts w:ascii="Arial" w:hAnsi="Arial" w:cs="Arial"/>
                <w:sz w:val="16"/>
                <w:szCs w:val="20"/>
              </w:rPr>
              <w:t>2</w:t>
            </w:r>
          </w:p>
        </w:tc>
        <w:tc>
          <w:tcPr>
            <w:tcW w:w="1247" w:type="dxa"/>
            <w:tcMar>
              <w:top w:w="90" w:type="dxa"/>
              <w:left w:w="90" w:type="dxa"/>
              <w:bottom w:w="90" w:type="dxa"/>
              <w:right w:w="90" w:type="dxa"/>
            </w:tcMar>
          </w:tcPr>
          <w:p w14:paraId="3E6B4B24" w14:textId="77777777" w:rsidR="00913186" w:rsidRPr="009F457C" w:rsidRDefault="00913186" w:rsidP="009D282D">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E6B4B25" w14:textId="641D765B" w:rsidR="00913186" w:rsidRPr="009F457C" w:rsidRDefault="5600D1B2" w:rsidP="360273D8">
            <w:pPr>
              <w:rPr>
                <w:rFonts w:ascii="Arial" w:eastAsia="Arial" w:hAnsi="Arial" w:cs="Arial"/>
                <w:sz w:val="20"/>
                <w:szCs w:val="20"/>
              </w:rPr>
            </w:pPr>
            <w:r w:rsidRPr="360273D8">
              <w:rPr>
                <w:rFonts w:ascii="Arial" w:eastAsia="Arial" w:hAnsi="Arial" w:cs="Arial"/>
                <w:sz w:val="16"/>
                <w:szCs w:val="20"/>
              </w:rPr>
              <w:t>Would NHBRC be willing to consider an extension to the tender submission deadline?</w:t>
            </w:r>
          </w:p>
        </w:tc>
        <w:tc>
          <w:tcPr>
            <w:tcW w:w="4535" w:type="dxa"/>
            <w:tcMar>
              <w:top w:w="90" w:type="dxa"/>
              <w:left w:w="90" w:type="dxa"/>
              <w:bottom w:w="90" w:type="dxa"/>
              <w:right w:w="90" w:type="dxa"/>
            </w:tcMar>
          </w:tcPr>
          <w:p w14:paraId="13641C0A" w14:textId="41D858CC" w:rsidR="00A46E52" w:rsidRDefault="00772C46">
            <w:r>
              <w:rPr>
                <w:rFonts w:ascii="Arial" w:hAnsi="Arial"/>
                <w:sz w:val="16"/>
              </w:rPr>
              <w:t>Extended to 09 October 2026</w:t>
            </w:r>
          </w:p>
        </w:tc>
      </w:tr>
      <w:tr w:rsidR="009F457C" w:rsidRPr="009F457C" w14:paraId="3E6B4B2C" w14:textId="77777777" w:rsidTr="69D00EF1">
        <w:trPr>
          <w:trHeight w:val="690"/>
        </w:trPr>
        <w:tc>
          <w:tcPr>
            <w:tcW w:w="624" w:type="dxa"/>
            <w:tcMar>
              <w:top w:w="90" w:type="dxa"/>
              <w:left w:w="90" w:type="dxa"/>
              <w:bottom w:w="90" w:type="dxa"/>
              <w:right w:w="90" w:type="dxa"/>
            </w:tcMar>
          </w:tcPr>
          <w:p w14:paraId="3E6B4B28" w14:textId="445084DF" w:rsidR="00913186" w:rsidRPr="009F457C" w:rsidRDefault="25AFB5FE" w:rsidP="005B2783">
            <w:r w:rsidRPr="360273D8">
              <w:rPr>
                <w:rFonts w:ascii="Arial" w:hAnsi="Arial" w:cs="Arial"/>
                <w:sz w:val="16"/>
                <w:szCs w:val="20"/>
              </w:rPr>
              <w:t>3</w:t>
            </w:r>
          </w:p>
        </w:tc>
        <w:tc>
          <w:tcPr>
            <w:tcW w:w="1247" w:type="dxa"/>
            <w:tcMar>
              <w:top w:w="90" w:type="dxa"/>
              <w:left w:w="90" w:type="dxa"/>
              <w:bottom w:w="90" w:type="dxa"/>
              <w:right w:w="90" w:type="dxa"/>
            </w:tcMar>
          </w:tcPr>
          <w:p w14:paraId="3E6B4B29" w14:textId="77777777" w:rsidR="00913186" w:rsidRPr="009F457C" w:rsidRDefault="00913186" w:rsidP="005B2783">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E6B4B2A" w14:textId="0D33F830" w:rsidR="00913186" w:rsidRPr="009F457C" w:rsidRDefault="25AFB5FE" w:rsidP="360273D8">
            <w:pPr>
              <w:rPr>
                <w:rFonts w:ascii="Arial" w:eastAsia="Arial" w:hAnsi="Arial" w:cs="Arial"/>
                <w:sz w:val="20"/>
                <w:szCs w:val="20"/>
              </w:rPr>
            </w:pPr>
            <w:r w:rsidRPr="497358DF">
              <w:rPr>
                <w:rFonts w:ascii="Arial" w:eastAsia="Arial" w:hAnsi="Arial" w:cs="Arial"/>
                <w:sz w:val="16"/>
                <w:szCs w:val="20"/>
              </w:rPr>
              <w:t>Can NHBRC provide the current switch, firewall, Wi</w:t>
            </w:r>
            <w:r w:rsidR="47CF7C81" w:rsidRPr="497358DF">
              <w:rPr>
                <w:rFonts w:ascii="Arial" w:eastAsia="Arial" w:hAnsi="Arial" w:cs="Arial"/>
                <w:sz w:val="16"/>
                <w:szCs w:val="20"/>
              </w:rPr>
              <w:t>-</w:t>
            </w:r>
            <w:r w:rsidRPr="497358DF">
              <w:rPr>
                <w:rFonts w:ascii="Arial" w:eastAsia="Arial" w:hAnsi="Arial" w:cs="Arial"/>
                <w:sz w:val="16"/>
                <w:szCs w:val="20"/>
              </w:rPr>
              <w:t>fi</w:t>
            </w:r>
            <w:r w:rsidR="18FDBCB3" w:rsidRPr="497358DF">
              <w:rPr>
                <w:rFonts w:ascii="Arial" w:eastAsia="Arial" w:hAnsi="Arial" w:cs="Arial"/>
                <w:sz w:val="16"/>
                <w:szCs w:val="20"/>
              </w:rPr>
              <w:t xml:space="preserve"> &amp; AP</w:t>
            </w:r>
            <w:r w:rsidRPr="497358DF">
              <w:rPr>
                <w:rFonts w:ascii="Arial" w:eastAsia="Arial" w:hAnsi="Arial" w:cs="Arial"/>
                <w:sz w:val="16"/>
                <w:szCs w:val="20"/>
              </w:rPr>
              <w:t xml:space="preserve"> and router inventory please?</w:t>
            </w:r>
          </w:p>
        </w:tc>
        <w:tc>
          <w:tcPr>
            <w:tcW w:w="4535" w:type="dxa"/>
            <w:tcMar>
              <w:top w:w="90" w:type="dxa"/>
              <w:left w:w="90" w:type="dxa"/>
              <w:bottom w:w="90" w:type="dxa"/>
              <w:right w:w="90" w:type="dxa"/>
            </w:tcMar>
          </w:tcPr>
          <w:p w14:paraId="029466D5" w14:textId="0950274B" w:rsidR="00A46E52" w:rsidRDefault="00826822">
            <w:r>
              <w:rPr>
                <w:rFonts w:ascii="Arial" w:hAnsi="Arial"/>
                <w:sz w:val="16"/>
              </w:rPr>
              <w:t>The TOR provide</w:t>
            </w:r>
            <w:r w:rsidR="00B82F60">
              <w:rPr>
                <w:rFonts w:ascii="Arial" w:hAnsi="Arial"/>
                <w:sz w:val="16"/>
              </w:rPr>
              <w:t>d</w:t>
            </w:r>
          </w:p>
        </w:tc>
      </w:tr>
      <w:tr w:rsidR="009F457C" w:rsidRPr="009F457C" w14:paraId="3E6B4B31" w14:textId="77777777" w:rsidTr="69D00EF1">
        <w:tc>
          <w:tcPr>
            <w:tcW w:w="624" w:type="dxa"/>
            <w:tcMar>
              <w:top w:w="90" w:type="dxa"/>
              <w:left w:w="90" w:type="dxa"/>
              <w:bottom w:w="90" w:type="dxa"/>
              <w:right w:w="90" w:type="dxa"/>
            </w:tcMar>
          </w:tcPr>
          <w:p w14:paraId="3E6B4B2D" w14:textId="250BBCDB" w:rsidR="00913186" w:rsidRPr="009F457C" w:rsidRDefault="25AFB5FE" w:rsidP="00147A28">
            <w:r w:rsidRPr="360273D8">
              <w:rPr>
                <w:rFonts w:ascii="Arial" w:hAnsi="Arial" w:cs="Arial"/>
                <w:sz w:val="16"/>
                <w:szCs w:val="20"/>
              </w:rPr>
              <w:t>4</w:t>
            </w:r>
          </w:p>
        </w:tc>
        <w:tc>
          <w:tcPr>
            <w:tcW w:w="1247" w:type="dxa"/>
            <w:tcMar>
              <w:top w:w="90" w:type="dxa"/>
              <w:left w:w="90" w:type="dxa"/>
              <w:bottom w:w="90" w:type="dxa"/>
              <w:right w:w="90" w:type="dxa"/>
            </w:tcMar>
          </w:tcPr>
          <w:p w14:paraId="3E6B4B2E" w14:textId="77777777" w:rsidR="00913186" w:rsidRPr="009F457C" w:rsidRDefault="00913186" w:rsidP="00147A28">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E6B4B2F" w14:textId="47385C7F" w:rsidR="00913186" w:rsidRPr="009F457C" w:rsidRDefault="07B19A0C" w:rsidP="497358DF">
            <w:pPr>
              <w:rPr>
                <w:rFonts w:ascii="Arial" w:eastAsia="Arial" w:hAnsi="Arial" w:cs="Arial"/>
                <w:sz w:val="20"/>
                <w:szCs w:val="20"/>
              </w:rPr>
            </w:pPr>
            <w:r w:rsidRPr="497358DF">
              <w:rPr>
                <w:rFonts w:ascii="Arial" w:eastAsia="Arial" w:hAnsi="Arial" w:cs="Arial"/>
                <w:sz w:val="16"/>
                <w:szCs w:val="20"/>
              </w:rPr>
              <w:t xml:space="preserve">There is a requirement for managed LAN, </w:t>
            </w:r>
            <w:proofErr w:type="spellStart"/>
            <w:r w:rsidRPr="497358DF">
              <w:rPr>
                <w:rFonts w:ascii="Arial" w:eastAsia="Arial" w:hAnsi="Arial" w:cs="Arial"/>
                <w:sz w:val="16"/>
                <w:szCs w:val="20"/>
              </w:rPr>
              <w:t>WifI</w:t>
            </w:r>
            <w:proofErr w:type="spellEnd"/>
            <w:r w:rsidRPr="497358DF">
              <w:rPr>
                <w:rFonts w:ascii="Arial" w:eastAsia="Arial" w:hAnsi="Arial" w:cs="Arial"/>
                <w:sz w:val="16"/>
                <w:szCs w:val="20"/>
              </w:rPr>
              <w:t xml:space="preserve"> and APs</w:t>
            </w:r>
            <w:r w:rsidR="3AE690FB" w:rsidRPr="497358DF">
              <w:rPr>
                <w:rFonts w:ascii="Arial" w:eastAsia="Arial" w:hAnsi="Arial" w:cs="Arial"/>
                <w:sz w:val="16"/>
                <w:szCs w:val="20"/>
              </w:rPr>
              <w:t xml:space="preserve"> b</w:t>
            </w:r>
            <w:r w:rsidR="016887AC" w:rsidRPr="497358DF">
              <w:rPr>
                <w:rFonts w:ascii="Arial" w:eastAsia="Arial" w:hAnsi="Arial" w:cs="Arial"/>
                <w:sz w:val="16"/>
                <w:szCs w:val="20"/>
              </w:rPr>
              <w:t>ut</w:t>
            </w:r>
            <w:r w:rsidR="3AE690FB" w:rsidRPr="497358DF">
              <w:rPr>
                <w:rFonts w:ascii="Arial" w:eastAsia="Arial" w:hAnsi="Arial" w:cs="Arial"/>
                <w:sz w:val="16"/>
                <w:szCs w:val="20"/>
              </w:rPr>
              <w:t xml:space="preserve"> not much detail</w:t>
            </w:r>
            <w:r w:rsidRPr="497358DF">
              <w:rPr>
                <w:rFonts w:ascii="Arial" w:eastAsia="Arial" w:hAnsi="Arial" w:cs="Arial"/>
                <w:sz w:val="16"/>
                <w:szCs w:val="20"/>
              </w:rPr>
              <w:t>: pls provide detail</w:t>
            </w:r>
            <w:r w:rsidR="727D37AB" w:rsidRPr="497358DF">
              <w:rPr>
                <w:rFonts w:ascii="Arial" w:eastAsia="Arial" w:hAnsi="Arial" w:cs="Arial"/>
                <w:sz w:val="16"/>
                <w:szCs w:val="20"/>
              </w:rPr>
              <w:t>ed</w:t>
            </w:r>
            <w:r w:rsidRPr="497358DF">
              <w:rPr>
                <w:rFonts w:ascii="Arial" w:eastAsia="Arial" w:hAnsi="Arial" w:cs="Arial"/>
                <w:sz w:val="16"/>
                <w:szCs w:val="20"/>
              </w:rPr>
              <w:t xml:space="preserve"> </w:t>
            </w:r>
            <w:r w:rsidR="60342804" w:rsidRPr="497358DF">
              <w:rPr>
                <w:rFonts w:ascii="Arial" w:eastAsia="Arial" w:hAnsi="Arial" w:cs="Arial"/>
                <w:sz w:val="16"/>
                <w:szCs w:val="20"/>
              </w:rPr>
              <w:t>B</w:t>
            </w:r>
            <w:r w:rsidRPr="497358DF">
              <w:rPr>
                <w:rFonts w:ascii="Arial" w:eastAsia="Arial" w:hAnsi="Arial" w:cs="Arial"/>
                <w:sz w:val="16"/>
                <w:szCs w:val="20"/>
              </w:rPr>
              <w:t>OM per site,</w:t>
            </w:r>
            <w:r w:rsidR="70137600" w:rsidRPr="497358DF">
              <w:rPr>
                <w:rFonts w:ascii="Arial" w:eastAsia="Arial" w:hAnsi="Arial" w:cs="Arial"/>
                <w:sz w:val="16"/>
                <w:szCs w:val="20"/>
              </w:rPr>
              <w:t xml:space="preserve"> regarding managed LAN, </w:t>
            </w:r>
            <w:r w:rsidR="4E493B63" w:rsidRPr="497358DF">
              <w:rPr>
                <w:rFonts w:ascii="Arial" w:eastAsia="Arial" w:hAnsi="Arial" w:cs="Arial"/>
                <w:sz w:val="16"/>
                <w:szCs w:val="20"/>
              </w:rPr>
              <w:t>Wi-Fi</w:t>
            </w:r>
            <w:r w:rsidR="70137600" w:rsidRPr="497358DF">
              <w:rPr>
                <w:rFonts w:ascii="Arial" w:eastAsia="Arial" w:hAnsi="Arial" w:cs="Arial"/>
                <w:sz w:val="16"/>
                <w:szCs w:val="20"/>
              </w:rPr>
              <w:t xml:space="preserve"> and APs</w:t>
            </w:r>
            <w:r w:rsidR="13726BC6" w:rsidRPr="497358DF">
              <w:rPr>
                <w:rFonts w:ascii="Arial" w:eastAsia="Arial" w:hAnsi="Arial" w:cs="Arial"/>
                <w:sz w:val="16"/>
                <w:szCs w:val="20"/>
              </w:rPr>
              <w:t xml:space="preserve"> </w:t>
            </w:r>
            <w:r w:rsidR="5EBAC873" w:rsidRPr="497358DF">
              <w:rPr>
                <w:rFonts w:ascii="Arial" w:eastAsia="Arial" w:hAnsi="Arial" w:cs="Arial"/>
                <w:sz w:val="16"/>
                <w:szCs w:val="20"/>
              </w:rPr>
              <w:t>requirements</w:t>
            </w:r>
            <w:r w:rsidR="13726BC6" w:rsidRPr="497358DF">
              <w:rPr>
                <w:rFonts w:ascii="Arial" w:eastAsia="Arial" w:hAnsi="Arial" w:cs="Arial"/>
                <w:sz w:val="16"/>
                <w:szCs w:val="20"/>
              </w:rPr>
              <w:t>.</w:t>
            </w:r>
          </w:p>
        </w:tc>
        <w:tc>
          <w:tcPr>
            <w:tcW w:w="4535" w:type="dxa"/>
            <w:tcMar>
              <w:top w:w="90" w:type="dxa"/>
              <w:left w:w="90" w:type="dxa"/>
              <w:bottom w:w="90" w:type="dxa"/>
              <w:right w:w="90" w:type="dxa"/>
            </w:tcMar>
          </w:tcPr>
          <w:p w14:paraId="1239B087" w14:textId="51EE6AFE" w:rsidR="00A46E52" w:rsidRDefault="00826822">
            <w:r>
              <w:rPr>
                <w:rFonts w:ascii="Arial" w:hAnsi="Arial"/>
                <w:sz w:val="16"/>
              </w:rPr>
              <w:t>Annexure B provides indicative site connectivity, client/device counts, WAN bandwidth and LAN uplink classifications. Bidders must assess the sites and propose the appropriate switch capacity, port density, stacking, redundancy, wireless infrastructure and quantities required for current demand and growth. (TOR 7.3.4; Annexure B2-B6; TOR 18)</w:t>
            </w:r>
          </w:p>
        </w:tc>
      </w:tr>
      <w:tr w:rsidR="009F457C" w:rsidRPr="009F457C" w14:paraId="3E6B4B36" w14:textId="77777777" w:rsidTr="69D00EF1">
        <w:tc>
          <w:tcPr>
            <w:tcW w:w="624" w:type="dxa"/>
            <w:tcMar>
              <w:top w:w="90" w:type="dxa"/>
              <w:left w:w="90" w:type="dxa"/>
              <w:bottom w:w="90" w:type="dxa"/>
              <w:right w:w="90" w:type="dxa"/>
            </w:tcMar>
          </w:tcPr>
          <w:p w14:paraId="3E6B4B32" w14:textId="59F3DBEB" w:rsidR="00913186" w:rsidRPr="009F457C" w:rsidRDefault="25AFB5FE" w:rsidP="009D282D">
            <w:r w:rsidRPr="360273D8">
              <w:rPr>
                <w:rFonts w:ascii="Arial" w:hAnsi="Arial" w:cs="Arial"/>
                <w:sz w:val="16"/>
                <w:szCs w:val="20"/>
              </w:rPr>
              <w:t>5</w:t>
            </w:r>
          </w:p>
        </w:tc>
        <w:tc>
          <w:tcPr>
            <w:tcW w:w="1247" w:type="dxa"/>
            <w:tcMar>
              <w:top w:w="90" w:type="dxa"/>
              <w:left w:w="90" w:type="dxa"/>
              <w:bottom w:w="90" w:type="dxa"/>
              <w:right w:w="90" w:type="dxa"/>
            </w:tcMar>
          </w:tcPr>
          <w:p w14:paraId="3E6B4B33" w14:textId="77777777" w:rsidR="00913186" w:rsidRPr="009F457C" w:rsidRDefault="00913186" w:rsidP="009D282D">
            <w:pPr>
              <w:jc w:val="center"/>
              <w:rPr>
                <w:rFonts w:ascii="Arial" w:hAnsi="Arial" w:cs="Arial"/>
                <w:sz w:val="20"/>
                <w:szCs w:val="20"/>
              </w:rPr>
            </w:pPr>
            <w:r>
              <w:rPr>
                <w:rFonts w:ascii="Arial" w:hAnsi="Arial"/>
                <w:b/>
                <w:sz w:val="16"/>
              </w:rPr>
              <w:t>TOR / Annexures</w:t>
            </w:r>
          </w:p>
        </w:tc>
        <w:tc>
          <w:tcPr>
            <w:tcW w:w="4082" w:type="dxa"/>
            <w:tcBorders>
              <w:bottom w:val="single" w:sz="4" w:space="0" w:color="auto"/>
            </w:tcBorders>
            <w:tcMar>
              <w:top w:w="90" w:type="dxa"/>
              <w:left w:w="90" w:type="dxa"/>
              <w:bottom w:w="90" w:type="dxa"/>
              <w:right w:w="90" w:type="dxa"/>
            </w:tcMar>
          </w:tcPr>
          <w:p w14:paraId="3E6B4B34" w14:textId="0D71B6D6" w:rsidR="00913186" w:rsidRPr="009F457C" w:rsidRDefault="25AFB5FE" w:rsidP="360273D8">
            <w:pPr>
              <w:rPr>
                <w:rFonts w:ascii="Arial" w:eastAsia="Arial" w:hAnsi="Arial" w:cs="Arial"/>
                <w:sz w:val="20"/>
                <w:szCs w:val="20"/>
              </w:rPr>
            </w:pPr>
            <w:r w:rsidRPr="360273D8">
              <w:rPr>
                <w:rFonts w:ascii="Arial" w:eastAsia="Arial" w:hAnsi="Arial" w:cs="Arial"/>
                <w:sz w:val="16"/>
                <w:szCs w:val="20"/>
              </w:rPr>
              <w:t>Are Internet breakouts required centrally or locally per site?</w:t>
            </w:r>
          </w:p>
        </w:tc>
        <w:tc>
          <w:tcPr>
            <w:tcW w:w="4535" w:type="dxa"/>
            <w:tcBorders>
              <w:bottom w:val="single" w:sz="4" w:space="0" w:color="auto"/>
            </w:tcBorders>
            <w:tcMar>
              <w:top w:w="90" w:type="dxa"/>
              <w:left w:w="90" w:type="dxa"/>
              <w:bottom w:w="90" w:type="dxa"/>
              <w:right w:w="90" w:type="dxa"/>
            </w:tcMar>
          </w:tcPr>
          <w:p w14:paraId="4A35F8E5" w14:textId="51AAC273" w:rsidR="00A46E52" w:rsidRDefault="00B82F60">
            <w:proofErr w:type="spellStart"/>
            <w:r>
              <w:rPr>
                <w:rFonts w:ascii="Arial" w:hAnsi="Arial"/>
                <w:sz w:val="16"/>
              </w:rPr>
              <w:t>Cental</w:t>
            </w:r>
            <w:proofErr w:type="spellEnd"/>
          </w:p>
        </w:tc>
      </w:tr>
      <w:tr w:rsidR="009F457C" w:rsidRPr="009F457C" w14:paraId="3E6B4B3B" w14:textId="77777777" w:rsidTr="69D00EF1">
        <w:tc>
          <w:tcPr>
            <w:tcW w:w="624" w:type="dxa"/>
            <w:tcMar>
              <w:top w:w="90" w:type="dxa"/>
              <w:left w:w="90" w:type="dxa"/>
              <w:bottom w:w="90" w:type="dxa"/>
              <w:right w:w="90" w:type="dxa"/>
            </w:tcMar>
          </w:tcPr>
          <w:p w14:paraId="3E6B4B37" w14:textId="03522CDF" w:rsidR="00913186" w:rsidRPr="009F457C" w:rsidRDefault="12C1D2F3" w:rsidP="00553888">
            <w:r w:rsidRPr="69D00EF1">
              <w:rPr>
                <w:rFonts w:ascii="Arial" w:hAnsi="Arial" w:cs="Arial"/>
                <w:sz w:val="16"/>
                <w:szCs w:val="20"/>
              </w:rPr>
              <w:t>6</w:t>
            </w:r>
          </w:p>
        </w:tc>
        <w:tc>
          <w:tcPr>
            <w:tcW w:w="1247" w:type="dxa"/>
            <w:tcMar>
              <w:top w:w="90" w:type="dxa"/>
              <w:left w:w="90" w:type="dxa"/>
              <w:bottom w:w="90" w:type="dxa"/>
              <w:right w:w="90" w:type="dxa"/>
            </w:tcMar>
          </w:tcPr>
          <w:p w14:paraId="3E6B4B38" w14:textId="77777777" w:rsidR="00913186" w:rsidRPr="009F457C" w:rsidRDefault="00913186" w:rsidP="00553888">
            <w:pPr>
              <w:jc w:val="center"/>
              <w:rPr>
                <w:rFonts w:ascii="Arial" w:hAnsi="Arial" w:cs="Arial"/>
                <w:sz w:val="20"/>
                <w:szCs w:val="20"/>
              </w:rPr>
            </w:pPr>
            <w:r>
              <w:rPr>
                <w:rFonts w:ascii="Arial" w:hAnsi="Arial"/>
                <w:b/>
                <w:sz w:val="16"/>
              </w:rPr>
              <w:t>TOR / Annexures</w:t>
            </w:r>
          </w:p>
        </w:tc>
        <w:tc>
          <w:tcPr>
            <w:tcW w:w="4082" w:type="dxa"/>
            <w:tcBorders>
              <w:top w:val="single" w:sz="4" w:space="0" w:color="auto"/>
            </w:tcBorders>
            <w:tcMar>
              <w:top w:w="90" w:type="dxa"/>
              <w:left w:w="90" w:type="dxa"/>
              <w:bottom w:w="90" w:type="dxa"/>
              <w:right w:w="90" w:type="dxa"/>
            </w:tcMar>
          </w:tcPr>
          <w:p w14:paraId="3E6B4B39" w14:textId="05234704" w:rsidR="00913186" w:rsidRPr="009F457C" w:rsidRDefault="12C1D2F3" w:rsidP="69D00EF1">
            <w:pPr>
              <w:rPr>
                <w:rFonts w:ascii="Arial" w:hAnsi="Arial" w:cs="Arial"/>
                <w:sz w:val="20"/>
                <w:szCs w:val="20"/>
              </w:rPr>
            </w:pPr>
            <w:r w:rsidRPr="69D00EF1">
              <w:rPr>
                <w:rFonts w:ascii="Arial" w:hAnsi="Arial" w:cs="Arial"/>
                <w:sz w:val="16"/>
                <w:szCs w:val="20"/>
              </w:rPr>
              <w:t xml:space="preserve">Secondary Internet </w:t>
            </w:r>
            <w:proofErr w:type="gramStart"/>
            <w:r w:rsidRPr="69D00EF1">
              <w:rPr>
                <w:rFonts w:ascii="Arial" w:hAnsi="Arial" w:cs="Arial"/>
                <w:sz w:val="16"/>
                <w:szCs w:val="20"/>
              </w:rPr>
              <w:t>Access  for</w:t>
            </w:r>
            <w:proofErr w:type="gramEnd"/>
            <w:r w:rsidRPr="69D00EF1">
              <w:rPr>
                <w:rFonts w:ascii="Arial" w:hAnsi="Arial" w:cs="Arial"/>
                <w:sz w:val="16"/>
                <w:szCs w:val="20"/>
              </w:rPr>
              <w:t xml:space="preserve"> the </w:t>
            </w:r>
            <w:proofErr w:type="spellStart"/>
            <w:r w:rsidRPr="69D00EF1">
              <w:rPr>
                <w:rFonts w:ascii="Arial" w:hAnsi="Arial" w:cs="Arial"/>
                <w:sz w:val="16"/>
                <w:szCs w:val="20"/>
              </w:rPr>
              <w:t>SDWan</w:t>
            </w:r>
            <w:proofErr w:type="spellEnd"/>
            <w:r w:rsidRPr="69D00EF1">
              <w:rPr>
                <w:rFonts w:ascii="Arial" w:hAnsi="Arial" w:cs="Arial"/>
                <w:sz w:val="16"/>
                <w:szCs w:val="20"/>
              </w:rPr>
              <w:t xml:space="preserve"> – BCX can use any existing</w:t>
            </w:r>
            <w:r w:rsidR="13045C46" w:rsidRPr="69D00EF1">
              <w:rPr>
                <w:rFonts w:ascii="Arial" w:hAnsi="Arial" w:cs="Arial"/>
                <w:sz w:val="16"/>
                <w:szCs w:val="20"/>
              </w:rPr>
              <w:t xml:space="preserve"> NHBRC</w:t>
            </w:r>
            <w:r w:rsidRPr="69D00EF1">
              <w:rPr>
                <w:rFonts w:ascii="Arial" w:hAnsi="Arial" w:cs="Arial"/>
                <w:sz w:val="16"/>
                <w:szCs w:val="20"/>
              </w:rPr>
              <w:t xml:space="preserve"> </w:t>
            </w:r>
            <w:r w:rsidR="3AFAB449" w:rsidRPr="69D00EF1">
              <w:rPr>
                <w:rFonts w:ascii="Arial" w:hAnsi="Arial" w:cs="Arial"/>
                <w:sz w:val="16"/>
                <w:szCs w:val="20"/>
              </w:rPr>
              <w:t>internet access</w:t>
            </w:r>
            <w:r w:rsidRPr="69D00EF1">
              <w:rPr>
                <w:rFonts w:ascii="Arial" w:hAnsi="Arial" w:cs="Arial"/>
                <w:sz w:val="16"/>
                <w:szCs w:val="20"/>
              </w:rPr>
              <w:t xml:space="preserve"> (any provider) </w:t>
            </w:r>
            <w:r w:rsidR="5999CC23" w:rsidRPr="69D00EF1">
              <w:rPr>
                <w:rFonts w:ascii="Arial" w:hAnsi="Arial" w:cs="Arial"/>
                <w:sz w:val="16"/>
                <w:szCs w:val="20"/>
              </w:rPr>
              <w:t xml:space="preserve">as the secondary access, or must BCX provide these as well? If we are to utilise </w:t>
            </w:r>
            <w:r w:rsidR="5AB20A92" w:rsidRPr="69D00EF1">
              <w:rPr>
                <w:rFonts w:ascii="Arial" w:hAnsi="Arial" w:cs="Arial"/>
                <w:sz w:val="16"/>
                <w:szCs w:val="20"/>
              </w:rPr>
              <w:t>existing NHBRC internet accesses, pls provide a list per site, so that we can cater for the different access mediums.</w:t>
            </w:r>
          </w:p>
        </w:tc>
        <w:tc>
          <w:tcPr>
            <w:tcW w:w="4535" w:type="dxa"/>
            <w:tcBorders>
              <w:top w:val="single" w:sz="4" w:space="0" w:color="auto"/>
            </w:tcBorders>
            <w:tcMar>
              <w:top w:w="90" w:type="dxa"/>
              <w:left w:w="90" w:type="dxa"/>
              <w:bottom w:w="90" w:type="dxa"/>
              <w:right w:w="90" w:type="dxa"/>
            </w:tcMar>
          </w:tcPr>
          <w:p w14:paraId="139A4F79" w14:textId="1EF2A63F" w:rsidR="00A46E52" w:rsidRDefault="00826822">
            <w:r>
              <w:rPr>
                <w:rFonts w:ascii="Arial" w:hAnsi="Arial"/>
                <w:sz w:val="16"/>
              </w:rPr>
              <w:t>The successful bidder is required to provide a resilient WAN with primary and secondary connectivity per site. Annexure B2 identifies the current baseline access media by site, namely fibre/dual fibre with microwave or LTE, and LTE/LTE)</w:t>
            </w:r>
          </w:p>
        </w:tc>
      </w:tr>
      <w:tr w:rsidR="009F457C" w:rsidRPr="009F457C" w14:paraId="3E6B4B40" w14:textId="77777777" w:rsidTr="69D00EF1">
        <w:tc>
          <w:tcPr>
            <w:tcW w:w="624" w:type="dxa"/>
            <w:tcMar>
              <w:top w:w="90" w:type="dxa"/>
              <w:left w:w="90" w:type="dxa"/>
              <w:bottom w:w="90" w:type="dxa"/>
              <w:right w:w="90" w:type="dxa"/>
            </w:tcMar>
          </w:tcPr>
          <w:p w14:paraId="3E6B4B3C" w14:textId="6C92FB33" w:rsidR="00913186" w:rsidRPr="009F457C" w:rsidRDefault="005D4345" w:rsidP="005B2783">
            <w:pPr>
              <w:rPr>
                <w:rFonts w:ascii="Arial" w:hAnsi="Arial" w:cs="Arial"/>
                <w:sz w:val="20"/>
                <w:szCs w:val="20"/>
              </w:rPr>
            </w:pPr>
            <w:r>
              <w:rPr>
                <w:rFonts w:ascii="Arial" w:hAnsi="Arial" w:cs="Arial"/>
                <w:sz w:val="16"/>
                <w:szCs w:val="20"/>
              </w:rPr>
              <w:t>7</w:t>
            </w:r>
          </w:p>
        </w:tc>
        <w:tc>
          <w:tcPr>
            <w:tcW w:w="1247" w:type="dxa"/>
            <w:tcMar>
              <w:top w:w="90" w:type="dxa"/>
              <w:left w:w="90" w:type="dxa"/>
              <w:bottom w:w="90" w:type="dxa"/>
              <w:right w:w="90" w:type="dxa"/>
            </w:tcMar>
          </w:tcPr>
          <w:p w14:paraId="3E6B4B3D" w14:textId="25303A6D" w:rsidR="00913186" w:rsidRPr="009F457C" w:rsidRDefault="00913186" w:rsidP="009F23E3">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2C76D6A" w14:textId="060B4567" w:rsidR="69D00EF1" w:rsidRDefault="69D00EF1" w:rsidP="69D00EF1">
            <w:r w:rsidRPr="69D00EF1">
              <w:rPr>
                <w:rFonts w:ascii="Arial" w:eastAsia="Aptos" w:hAnsi="Arial" w:cs="Aptos"/>
                <w:color w:val="000000" w:themeColor="text1"/>
                <w:sz w:val="16"/>
                <w:szCs w:val="20"/>
              </w:rPr>
              <w:t>Please confirm whether NHBRC requires the bidder to provide a complete managed SOC/SIEM service, or to integrate security telemetry into an existing or future NHBRC / third-party SOC/SIEM platform.</w:t>
            </w:r>
          </w:p>
        </w:tc>
        <w:tc>
          <w:tcPr>
            <w:tcW w:w="4535" w:type="dxa"/>
            <w:tcMar>
              <w:top w:w="90" w:type="dxa"/>
              <w:left w:w="90" w:type="dxa"/>
              <w:bottom w:w="90" w:type="dxa"/>
              <w:right w:w="90" w:type="dxa"/>
            </w:tcMar>
          </w:tcPr>
          <w:p w14:paraId="21E7861D" w14:textId="77777777" w:rsidR="00A46E52" w:rsidRDefault="00826822">
            <w:r>
              <w:rPr>
                <w:rFonts w:ascii="Arial" w:hAnsi="Arial"/>
                <w:sz w:val="16"/>
              </w:rPr>
              <w:t>The TOR requires the bidder to secure and monitor infrastructure under its control, detect and respond to threats in the hosting environment, and integrate with NHBRC's current or future security operations, including a centrally managed SOC. It specifically requires logs and telemetry to be provided to NHBRC or a third-party SOC/SIEM. It does not expressly require the bidder to provide a complete standalone enterprise SOC/SIEM for all NHBRC environments. (TOR 7.4.2; 7.4.5)</w:t>
            </w:r>
          </w:p>
        </w:tc>
      </w:tr>
      <w:tr w:rsidR="009F457C" w:rsidRPr="009F457C" w14:paraId="3E6B4B45" w14:textId="77777777" w:rsidTr="69D00EF1">
        <w:tc>
          <w:tcPr>
            <w:tcW w:w="624" w:type="dxa"/>
            <w:tcMar>
              <w:top w:w="90" w:type="dxa"/>
              <w:left w:w="90" w:type="dxa"/>
              <w:bottom w:w="90" w:type="dxa"/>
              <w:right w:w="90" w:type="dxa"/>
            </w:tcMar>
          </w:tcPr>
          <w:p w14:paraId="3E6B4B41" w14:textId="5DBBCB30" w:rsidR="00913186" w:rsidRPr="009F457C" w:rsidRDefault="005D4345" w:rsidP="009D282D">
            <w:pPr>
              <w:rPr>
                <w:rFonts w:ascii="Arial" w:hAnsi="Arial" w:cs="Arial"/>
                <w:sz w:val="20"/>
                <w:szCs w:val="20"/>
              </w:rPr>
            </w:pPr>
            <w:r>
              <w:rPr>
                <w:rFonts w:ascii="Arial" w:hAnsi="Arial" w:cs="Arial"/>
                <w:sz w:val="16"/>
                <w:szCs w:val="20"/>
              </w:rPr>
              <w:t>8</w:t>
            </w:r>
          </w:p>
        </w:tc>
        <w:tc>
          <w:tcPr>
            <w:tcW w:w="1247" w:type="dxa"/>
            <w:tcMar>
              <w:top w:w="90" w:type="dxa"/>
              <w:left w:w="90" w:type="dxa"/>
              <w:bottom w:w="90" w:type="dxa"/>
              <w:right w:w="90" w:type="dxa"/>
            </w:tcMar>
          </w:tcPr>
          <w:p w14:paraId="3E6B4B42" w14:textId="15A33D87" w:rsidR="00913186" w:rsidRPr="009F457C" w:rsidRDefault="3F4FEDA2"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SOC/SIEM</w:t>
            </w:r>
          </w:p>
        </w:tc>
        <w:tc>
          <w:tcPr>
            <w:tcW w:w="4082" w:type="dxa"/>
            <w:tcMar>
              <w:top w:w="90" w:type="dxa"/>
              <w:left w:w="90" w:type="dxa"/>
              <w:bottom w:w="90" w:type="dxa"/>
              <w:right w:w="90" w:type="dxa"/>
            </w:tcMar>
          </w:tcPr>
          <w:p w14:paraId="4DD9BE83" w14:textId="3B0B440A" w:rsidR="69D00EF1" w:rsidRDefault="69D00EF1" w:rsidP="69D00EF1">
            <w:r w:rsidRPr="69D00EF1">
              <w:rPr>
                <w:rFonts w:ascii="Arial" w:eastAsia="Aptos" w:hAnsi="Arial" w:cs="Aptos"/>
                <w:color w:val="000000" w:themeColor="text1"/>
                <w:sz w:val="16"/>
                <w:szCs w:val="20"/>
              </w:rPr>
              <w:t>If an existing SIEM/SOC platform is in use, please provide the current platform/vendor, ownership model and whether the successful bidder will receive administrative access for onboarding, tuning and investigation.</w:t>
            </w:r>
          </w:p>
        </w:tc>
        <w:tc>
          <w:tcPr>
            <w:tcW w:w="4535" w:type="dxa"/>
            <w:tcMar>
              <w:top w:w="90" w:type="dxa"/>
              <w:left w:w="90" w:type="dxa"/>
              <w:bottom w:w="90" w:type="dxa"/>
              <w:right w:w="90" w:type="dxa"/>
            </w:tcMar>
          </w:tcPr>
          <w:p w14:paraId="4A10C001" w14:textId="1C5E16ED" w:rsidR="00A46E52" w:rsidRDefault="00826822">
            <w:r>
              <w:rPr>
                <w:rFonts w:ascii="Arial" w:hAnsi="Arial"/>
                <w:sz w:val="16"/>
              </w:rPr>
              <w:t>The successful bidder must support integration with NHBRC's current or future SOC and centralised monitoring platforms. Platform and access details will need to be confirmed during discovery and transition. (TOR 7.4.2.3; 7.4.5.1.7-7.4.5.1.8; 11.2)</w:t>
            </w:r>
          </w:p>
        </w:tc>
      </w:tr>
      <w:tr w:rsidR="69D00EF1" w14:paraId="4EA91D8F" w14:textId="77777777" w:rsidTr="00F54D6E">
        <w:trPr>
          <w:trHeight w:val="300"/>
        </w:trPr>
        <w:tc>
          <w:tcPr>
            <w:tcW w:w="624" w:type="dxa"/>
            <w:tcMar>
              <w:top w:w="90" w:type="dxa"/>
              <w:left w:w="90" w:type="dxa"/>
              <w:bottom w:w="90" w:type="dxa"/>
              <w:right w:w="90" w:type="dxa"/>
            </w:tcMar>
          </w:tcPr>
          <w:p w14:paraId="40C53988" w14:textId="086ECD6D" w:rsidR="69D00EF1" w:rsidRDefault="005D4345" w:rsidP="69D00EF1">
            <w:pPr>
              <w:rPr>
                <w:rFonts w:ascii="Arial" w:hAnsi="Arial" w:cs="Arial"/>
                <w:sz w:val="20"/>
                <w:szCs w:val="20"/>
              </w:rPr>
            </w:pPr>
            <w:r>
              <w:rPr>
                <w:rFonts w:ascii="Arial" w:hAnsi="Arial" w:cs="Arial"/>
                <w:sz w:val="16"/>
                <w:szCs w:val="20"/>
              </w:rPr>
              <w:t>9</w:t>
            </w:r>
          </w:p>
        </w:tc>
        <w:tc>
          <w:tcPr>
            <w:tcW w:w="1247" w:type="dxa"/>
            <w:tcMar>
              <w:top w:w="90" w:type="dxa"/>
              <w:left w:w="90" w:type="dxa"/>
              <w:bottom w:w="90" w:type="dxa"/>
              <w:right w:w="90" w:type="dxa"/>
            </w:tcMar>
          </w:tcPr>
          <w:p w14:paraId="62A66962" w14:textId="7EC1C8D8"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39F2525" w14:textId="725F042D" w:rsidR="69D00EF1" w:rsidRDefault="69D00EF1" w:rsidP="69D00EF1">
            <w:r w:rsidRPr="69D00EF1">
              <w:rPr>
                <w:rFonts w:ascii="Arial" w:eastAsia="Aptos" w:hAnsi="Arial" w:cs="Aptos"/>
                <w:color w:val="000000" w:themeColor="text1"/>
                <w:sz w:val="16"/>
                <w:szCs w:val="20"/>
              </w:rPr>
              <w:t>Please provide the current and expected number of log sources to be monitored, grouped by source type (e.g. servers, endpoints, firewalls, network devices, Microsoft 365/Azure, Active Directory, applications/SAP, databases and other security platforms).</w:t>
            </w:r>
          </w:p>
        </w:tc>
        <w:tc>
          <w:tcPr>
            <w:tcW w:w="4535" w:type="dxa"/>
            <w:tcMar>
              <w:top w:w="90" w:type="dxa"/>
              <w:left w:w="90" w:type="dxa"/>
              <w:bottom w:w="90" w:type="dxa"/>
              <w:right w:w="90" w:type="dxa"/>
            </w:tcMar>
          </w:tcPr>
          <w:p w14:paraId="7FA2CC69" w14:textId="5B497DE2" w:rsidR="00A46E52" w:rsidRDefault="00826822">
            <w:r>
              <w:rPr>
                <w:rFonts w:ascii="Arial" w:hAnsi="Arial"/>
                <w:sz w:val="16"/>
              </w:rPr>
              <w:t>Scope references include managed systems, networks, infrastructure, platforms and hosted workloads, with integration across on-premises, hosted and Microsoft Azure environments. The current baseline includes 19 servers and one Active Directory Domain Controller</w:t>
            </w:r>
            <w:r w:rsidR="00B82F60">
              <w:rPr>
                <w:rFonts w:ascii="Arial" w:hAnsi="Arial"/>
                <w:sz w:val="16"/>
              </w:rPr>
              <w:t>.</w:t>
            </w:r>
          </w:p>
        </w:tc>
      </w:tr>
      <w:tr w:rsidR="69D00EF1" w14:paraId="191807E6" w14:textId="77777777" w:rsidTr="00F54D6E">
        <w:trPr>
          <w:trHeight w:val="300"/>
        </w:trPr>
        <w:tc>
          <w:tcPr>
            <w:tcW w:w="624" w:type="dxa"/>
            <w:tcMar>
              <w:top w:w="90" w:type="dxa"/>
              <w:left w:w="90" w:type="dxa"/>
              <w:bottom w:w="90" w:type="dxa"/>
              <w:right w:w="90" w:type="dxa"/>
            </w:tcMar>
          </w:tcPr>
          <w:p w14:paraId="26BDE176" w14:textId="25AE2908" w:rsidR="69D00EF1" w:rsidRDefault="005D4345" w:rsidP="69D00EF1">
            <w:pPr>
              <w:rPr>
                <w:rFonts w:ascii="Arial" w:hAnsi="Arial" w:cs="Arial"/>
                <w:sz w:val="20"/>
                <w:szCs w:val="20"/>
              </w:rPr>
            </w:pPr>
            <w:r>
              <w:rPr>
                <w:rFonts w:ascii="Arial" w:hAnsi="Arial" w:cs="Arial"/>
                <w:sz w:val="16"/>
                <w:szCs w:val="20"/>
              </w:rPr>
              <w:t>10</w:t>
            </w:r>
          </w:p>
        </w:tc>
        <w:tc>
          <w:tcPr>
            <w:tcW w:w="1247" w:type="dxa"/>
            <w:tcMar>
              <w:top w:w="90" w:type="dxa"/>
              <w:left w:w="90" w:type="dxa"/>
              <w:bottom w:w="90" w:type="dxa"/>
              <w:right w:w="90" w:type="dxa"/>
            </w:tcMar>
          </w:tcPr>
          <w:p w14:paraId="3C6352BD" w14:textId="3F8DFA00"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59717C1" w14:textId="2FD2B4C1" w:rsidR="69D00EF1" w:rsidRDefault="69D00EF1" w:rsidP="69D00EF1">
            <w:r w:rsidRPr="69D00EF1">
              <w:rPr>
                <w:rFonts w:ascii="Arial" w:eastAsia="Aptos" w:hAnsi="Arial" w:cs="Aptos"/>
                <w:color w:val="000000" w:themeColor="text1"/>
                <w:sz w:val="16"/>
                <w:szCs w:val="20"/>
              </w:rPr>
              <w:t>Please provide the current average and peak security log volumes, preferably in GB/day and/or EPS, and indicate the expected annual growth in log volume over the five-year contract period.</w:t>
            </w:r>
          </w:p>
        </w:tc>
        <w:tc>
          <w:tcPr>
            <w:tcW w:w="4535" w:type="dxa"/>
            <w:tcMar>
              <w:top w:w="90" w:type="dxa"/>
              <w:left w:w="90" w:type="dxa"/>
              <w:bottom w:w="90" w:type="dxa"/>
              <w:right w:w="90" w:type="dxa"/>
            </w:tcMar>
          </w:tcPr>
          <w:p w14:paraId="2388E77C" w14:textId="161287DB" w:rsidR="00A46E52" w:rsidRDefault="00826822">
            <w:r>
              <w:rPr>
                <w:rFonts w:ascii="Arial" w:hAnsi="Arial"/>
                <w:sz w:val="16"/>
              </w:rPr>
              <w:t>The solution must support growth of at least 20% per annum without redesign</w:t>
            </w:r>
          </w:p>
        </w:tc>
      </w:tr>
      <w:tr w:rsidR="69D00EF1" w14:paraId="00F64E70" w14:textId="77777777" w:rsidTr="00F54D6E">
        <w:trPr>
          <w:trHeight w:val="300"/>
        </w:trPr>
        <w:tc>
          <w:tcPr>
            <w:tcW w:w="624" w:type="dxa"/>
            <w:tcMar>
              <w:top w:w="90" w:type="dxa"/>
              <w:left w:w="90" w:type="dxa"/>
              <w:bottom w:w="90" w:type="dxa"/>
              <w:right w:w="90" w:type="dxa"/>
            </w:tcMar>
          </w:tcPr>
          <w:p w14:paraId="13C9F215" w14:textId="40ED5929" w:rsidR="69D00EF1" w:rsidRDefault="005D4345" w:rsidP="69D00EF1">
            <w:pPr>
              <w:rPr>
                <w:rFonts w:ascii="Arial" w:hAnsi="Arial" w:cs="Arial"/>
                <w:sz w:val="20"/>
                <w:szCs w:val="20"/>
              </w:rPr>
            </w:pPr>
            <w:r>
              <w:rPr>
                <w:rFonts w:ascii="Arial" w:hAnsi="Arial" w:cs="Arial"/>
                <w:sz w:val="16"/>
                <w:szCs w:val="20"/>
              </w:rPr>
              <w:lastRenderedPageBreak/>
              <w:t>11</w:t>
            </w:r>
          </w:p>
        </w:tc>
        <w:tc>
          <w:tcPr>
            <w:tcW w:w="1247" w:type="dxa"/>
            <w:tcMar>
              <w:top w:w="90" w:type="dxa"/>
              <w:left w:w="90" w:type="dxa"/>
              <w:bottom w:w="90" w:type="dxa"/>
              <w:right w:w="90" w:type="dxa"/>
            </w:tcMar>
          </w:tcPr>
          <w:p w14:paraId="16E67BF2" w14:textId="0BEF0E73"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15F385C5" w14:textId="14797DFB" w:rsidR="69D00EF1" w:rsidRDefault="69D00EF1" w:rsidP="69D00EF1">
            <w:r w:rsidRPr="69D00EF1">
              <w:rPr>
                <w:rFonts w:ascii="Arial" w:eastAsia="Aptos" w:hAnsi="Arial" w:cs="Aptos"/>
                <w:color w:val="000000" w:themeColor="text1"/>
                <w:sz w:val="16"/>
                <w:szCs w:val="20"/>
              </w:rPr>
              <w:t>Please confirm the required log retention period and whether different retention periods apply to online/searchable data versus archived data.</w:t>
            </w:r>
          </w:p>
        </w:tc>
        <w:tc>
          <w:tcPr>
            <w:tcW w:w="4535" w:type="dxa"/>
            <w:tcMar>
              <w:top w:w="90" w:type="dxa"/>
              <w:left w:w="90" w:type="dxa"/>
              <w:bottom w:w="90" w:type="dxa"/>
              <w:right w:w="90" w:type="dxa"/>
            </w:tcMar>
          </w:tcPr>
          <w:p w14:paraId="562545F4" w14:textId="2AEDE1EA" w:rsidR="00A46E52" w:rsidRDefault="00826822">
            <w:r>
              <w:rPr>
                <w:rFonts w:ascii="Arial" w:hAnsi="Arial"/>
                <w:sz w:val="16"/>
              </w:rPr>
              <w:t>The period and storage tiers must be agreed during solution design and governance. (TOR 7.4.8.2.3-7.4.8.2.5)</w:t>
            </w:r>
          </w:p>
        </w:tc>
      </w:tr>
      <w:tr w:rsidR="69D00EF1" w14:paraId="5E2E290F" w14:textId="77777777" w:rsidTr="00F54D6E">
        <w:trPr>
          <w:trHeight w:val="300"/>
        </w:trPr>
        <w:tc>
          <w:tcPr>
            <w:tcW w:w="624" w:type="dxa"/>
            <w:tcMar>
              <w:top w:w="90" w:type="dxa"/>
              <w:left w:w="90" w:type="dxa"/>
              <w:bottom w:w="90" w:type="dxa"/>
              <w:right w:w="90" w:type="dxa"/>
            </w:tcMar>
          </w:tcPr>
          <w:p w14:paraId="0B3C70C8" w14:textId="21537675" w:rsidR="69D00EF1" w:rsidRDefault="005D4345" w:rsidP="69D00EF1">
            <w:pPr>
              <w:rPr>
                <w:rFonts w:ascii="Arial" w:hAnsi="Arial" w:cs="Arial"/>
                <w:sz w:val="20"/>
                <w:szCs w:val="20"/>
              </w:rPr>
            </w:pPr>
            <w:r>
              <w:rPr>
                <w:rFonts w:ascii="Arial" w:hAnsi="Arial" w:cs="Arial"/>
                <w:sz w:val="16"/>
                <w:szCs w:val="20"/>
              </w:rPr>
              <w:t>12</w:t>
            </w:r>
          </w:p>
        </w:tc>
        <w:tc>
          <w:tcPr>
            <w:tcW w:w="1247" w:type="dxa"/>
            <w:tcMar>
              <w:top w:w="90" w:type="dxa"/>
              <w:left w:w="90" w:type="dxa"/>
              <w:bottom w:w="90" w:type="dxa"/>
              <w:right w:w="90" w:type="dxa"/>
            </w:tcMar>
          </w:tcPr>
          <w:p w14:paraId="431B0AB3" w14:textId="4639B1B0"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64026952" w14:textId="1043A1D9" w:rsidR="69D00EF1" w:rsidRDefault="69D00EF1" w:rsidP="69D00EF1">
            <w:r w:rsidRPr="69D00EF1">
              <w:rPr>
                <w:rFonts w:ascii="Arial" w:eastAsia="Aptos" w:hAnsi="Arial" w:cs="Aptos"/>
                <w:color w:val="000000" w:themeColor="text1"/>
                <w:sz w:val="16"/>
                <w:szCs w:val="20"/>
              </w:rPr>
              <w:t>Please confirm which environments are in scope for SOC monitoring: on-premises, hosted infrastructure, Microsoft Azure/cloud workloads, all NHBRC offices, Microsoft 365, and any third-party hosted services.</w:t>
            </w:r>
          </w:p>
        </w:tc>
        <w:tc>
          <w:tcPr>
            <w:tcW w:w="4535" w:type="dxa"/>
            <w:tcMar>
              <w:top w:w="90" w:type="dxa"/>
              <w:left w:w="90" w:type="dxa"/>
              <w:bottom w:w="90" w:type="dxa"/>
              <w:right w:w="90" w:type="dxa"/>
            </w:tcMar>
          </w:tcPr>
          <w:p w14:paraId="6EF98D89" w14:textId="77777777" w:rsidR="00A46E52" w:rsidRDefault="00826822">
            <w:r>
              <w:rPr>
                <w:rFonts w:ascii="Arial" w:hAnsi="Arial"/>
                <w:sz w:val="16"/>
              </w:rPr>
              <w:t>Security coverage applies to all infrastructure, platforms and environments used to deliver the managed services. This includes the hybrid on-premises, hosted and Microsoft Azure environment, all connected NHBRC locations and the managed network, hosting, cloud and collaboration components. Third-party services must integrate where used. (TOR 6.1; 7.1; 7.4.1-7.4.2; 7.6)</w:t>
            </w:r>
          </w:p>
        </w:tc>
      </w:tr>
      <w:tr w:rsidR="69D00EF1" w14:paraId="72CE7153" w14:textId="77777777" w:rsidTr="00F54D6E">
        <w:trPr>
          <w:trHeight w:val="300"/>
        </w:trPr>
        <w:tc>
          <w:tcPr>
            <w:tcW w:w="624" w:type="dxa"/>
            <w:tcMar>
              <w:top w:w="90" w:type="dxa"/>
              <w:left w:w="90" w:type="dxa"/>
              <w:bottom w:w="90" w:type="dxa"/>
              <w:right w:w="90" w:type="dxa"/>
            </w:tcMar>
          </w:tcPr>
          <w:p w14:paraId="1EB87BD8" w14:textId="48F6916B" w:rsidR="69D00EF1" w:rsidRDefault="005D4345" w:rsidP="69D00EF1">
            <w:pPr>
              <w:rPr>
                <w:rFonts w:ascii="Arial" w:hAnsi="Arial" w:cs="Arial"/>
                <w:sz w:val="20"/>
                <w:szCs w:val="20"/>
              </w:rPr>
            </w:pPr>
            <w:r>
              <w:rPr>
                <w:rFonts w:ascii="Arial" w:hAnsi="Arial" w:cs="Arial"/>
                <w:sz w:val="16"/>
                <w:szCs w:val="20"/>
              </w:rPr>
              <w:t>13</w:t>
            </w:r>
          </w:p>
        </w:tc>
        <w:tc>
          <w:tcPr>
            <w:tcW w:w="1247" w:type="dxa"/>
            <w:tcMar>
              <w:top w:w="90" w:type="dxa"/>
              <w:left w:w="90" w:type="dxa"/>
              <w:bottom w:w="90" w:type="dxa"/>
              <w:right w:w="90" w:type="dxa"/>
            </w:tcMar>
          </w:tcPr>
          <w:p w14:paraId="4B9DA06C" w14:textId="2F52F233"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8431AAF" w14:textId="71E65F43" w:rsidR="69D00EF1" w:rsidRDefault="69D00EF1" w:rsidP="69D00EF1">
            <w:r w:rsidRPr="69D00EF1">
              <w:rPr>
                <w:rFonts w:ascii="Arial" w:eastAsia="Aptos" w:hAnsi="Arial" w:cs="Aptos"/>
                <w:color w:val="000000" w:themeColor="text1"/>
                <w:sz w:val="16"/>
                <w:szCs w:val="20"/>
              </w:rPr>
              <w:t>Please confirm whether the SOC is expected to perform containment/remediation actions or only investigate and escalate to NHBRC/BCX teams.</w:t>
            </w:r>
          </w:p>
        </w:tc>
        <w:tc>
          <w:tcPr>
            <w:tcW w:w="4535" w:type="dxa"/>
            <w:tcMar>
              <w:top w:w="90" w:type="dxa"/>
              <w:left w:w="90" w:type="dxa"/>
              <w:bottom w:w="90" w:type="dxa"/>
              <w:right w:w="90" w:type="dxa"/>
            </w:tcMar>
          </w:tcPr>
          <w:p w14:paraId="76B7B02F" w14:textId="0D16CE2E" w:rsidR="00A46E52" w:rsidRDefault="00826822">
            <w:r>
              <w:rPr>
                <w:rFonts w:ascii="Arial" w:hAnsi="Arial"/>
                <w:sz w:val="16"/>
              </w:rPr>
              <w:t>The SOC/security service is expected to investigate and respond to incidents affecting hosted services and to support investigation, containment and remediation. Incidents must be escalated to NHBRC under agreed procedures</w:t>
            </w:r>
            <w:r w:rsidR="00B82F60">
              <w:rPr>
                <w:rFonts w:ascii="Arial" w:hAnsi="Arial"/>
                <w:sz w:val="16"/>
              </w:rPr>
              <w:t>.</w:t>
            </w:r>
          </w:p>
        </w:tc>
      </w:tr>
      <w:tr w:rsidR="69D00EF1" w14:paraId="1B15510F" w14:textId="77777777" w:rsidTr="00F54D6E">
        <w:trPr>
          <w:trHeight w:val="300"/>
        </w:trPr>
        <w:tc>
          <w:tcPr>
            <w:tcW w:w="624" w:type="dxa"/>
            <w:tcMar>
              <w:top w:w="90" w:type="dxa"/>
              <w:left w:w="90" w:type="dxa"/>
              <w:bottom w:w="90" w:type="dxa"/>
              <w:right w:w="90" w:type="dxa"/>
            </w:tcMar>
          </w:tcPr>
          <w:p w14:paraId="730FF28F" w14:textId="40610495" w:rsidR="69D00EF1" w:rsidRDefault="005D4345" w:rsidP="69D00EF1">
            <w:pPr>
              <w:rPr>
                <w:rFonts w:ascii="Arial" w:hAnsi="Arial" w:cs="Arial"/>
                <w:sz w:val="20"/>
                <w:szCs w:val="20"/>
              </w:rPr>
            </w:pPr>
            <w:r>
              <w:rPr>
                <w:rFonts w:ascii="Arial" w:hAnsi="Arial" w:cs="Arial"/>
                <w:sz w:val="16"/>
                <w:szCs w:val="20"/>
              </w:rPr>
              <w:t>14</w:t>
            </w:r>
          </w:p>
        </w:tc>
        <w:tc>
          <w:tcPr>
            <w:tcW w:w="1247" w:type="dxa"/>
            <w:tcMar>
              <w:top w:w="90" w:type="dxa"/>
              <w:left w:w="90" w:type="dxa"/>
              <w:bottom w:w="90" w:type="dxa"/>
              <w:right w:w="90" w:type="dxa"/>
            </w:tcMar>
          </w:tcPr>
          <w:p w14:paraId="7BFEB734" w14:textId="2AC7F381"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58020913" w14:textId="4689EB38" w:rsidR="69D00EF1" w:rsidRDefault="69D00EF1" w:rsidP="69D00EF1">
            <w:r w:rsidRPr="69D00EF1">
              <w:rPr>
                <w:rFonts w:ascii="Arial" w:eastAsia="Aptos" w:hAnsi="Arial" w:cs="Aptos"/>
                <w:color w:val="000000" w:themeColor="text1"/>
                <w:sz w:val="16"/>
                <w:szCs w:val="20"/>
              </w:rPr>
              <w:t>Please provide the required security incident response and notification SLAs, including whether the stated security event notification target of within one hour applies to all severities or only defined priority levels.</w:t>
            </w:r>
          </w:p>
        </w:tc>
        <w:tc>
          <w:tcPr>
            <w:tcW w:w="4535" w:type="dxa"/>
            <w:tcMar>
              <w:top w:w="90" w:type="dxa"/>
              <w:left w:w="90" w:type="dxa"/>
              <w:bottom w:w="90" w:type="dxa"/>
              <w:right w:w="90" w:type="dxa"/>
            </w:tcMar>
          </w:tcPr>
          <w:p w14:paraId="7FEEFF2B" w14:textId="1AF685AE" w:rsidR="00A46E52" w:rsidRDefault="00826822">
            <w:r>
              <w:rPr>
                <w:rFonts w:ascii="Arial" w:hAnsi="Arial"/>
                <w:sz w:val="16"/>
              </w:rPr>
              <w:t>Minimum security-event notification is within one hour of detection. General incident SLAs are P1: acknowledge 15 min, respond 30 min, restore 4 hrs; P2: 30 min, 1 hr, 8 hrs; P3: 4 hrs, 8 hrs, 24 hrs; P4: 8 hrs, 24 hrs, 72 hrs. (TOR 7.6.7.2-7.6.7.4)</w:t>
            </w:r>
          </w:p>
        </w:tc>
      </w:tr>
      <w:tr w:rsidR="69D00EF1" w14:paraId="1208E9AD" w14:textId="77777777" w:rsidTr="00F54D6E">
        <w:trPr>
          <w:trHeight w:val="300"/>
        </w:trPr>
        <w:tc>
          <w:tcPr>
            <w:tcW w:w="624" w:type="dxa"/>
            <w:tcMar>
              <w:top w:w="90" w:type="dxa"/>
              <w:left w:w="90" w:type="dxa"/>
              <w:bottom w:w="90" w:type="dxa"/>
              <w:right w:w="90" w:type="dxa"/>
            </w:tcMar>
          </w:tcPr>
          <w:p w14:paraId="647AE750" w14:textId="56D043E3" w:rsidR="69D00EF1" w:rsidRDefault="005D4345" w:rsidP="69D00EF1">
            <w:pPr>
              <w:rPr>
                <w:rFonts w:ascii="Arial" w:hAnsi="Arial" w:cs="Arial"/>
                <w:sz w:val="20"/>
                <w:szCs w:val="20"/>
              </w:rPr>
            </w:pPr>
            <w:r>
              <w:rPr>
                <w:rFonts w:ascii="Arial" w:hAnsi="Arial" w:cs="Arial"/>
                <w:sz w:val="16"/>
                <w:szCs w:val="20"/>
              </w:rPr>
              <w:t>15</w:t>
            </w:r>
          </w:p>
        </w:tc>
        <w:tc>
          <w:tcPr>
            <w:tcW w:w="1247" w:type="dxa"/>
            <w:tcMar>
              <w:top w:w="90" w:type="dxa"/>
              <w:left w:w="90" w:type="dxa"/>
              <w:bottom w:w="90" w:type="dxa"/>
              <w:right w:w="90" w:type="dxa"/>
            </w:tcMar>
          </w:tcPr>
          <w:p w14:paraId="783ACD8B" w14:textId="7C33B3B7"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6FA9CF81" w14:textId="4A29D741" w:rsidR="69D00EF1" w:rsidRDefault="69D00EF1" w:rsidP="69D00EF1">
            <w:r w:rsidRPr="69D00EF1">
              <w:rPr>
                <w:rFonts w:ascii="Arial" w:eastAsia="Aptos" w:hAnsi="Arial" w:cs="Aptos"/>
                <w:color w:val="000000" w:themeColor="text1"/>
                <w:sz w:val="16"/>
                <w:szCs w:val="20"/>
              </w:rPr>
              <w:t>Please confirm whether the successful bidder is expected to create and maintain SIEM correlation rules / detection use cases, dashboards and tuning throughout the contract, and whether NHBRC has an existing use-case catalogue that must be migrated or retained.</w:t>
            </w:r>
          </w:p>
        </w:tc>
        <w:tc>
          <w:tcPr>
            <w:tcW w:w="4535" w:type="dxa"/>
            <w:tcMar>
              <w:top w:w="90" w:type="dxa"/>
              <w:left w:w="90" w:type="dxa"/>
              <w:bottom w:w="90" w:type="dxa"/>
              <w:right w:w="90" w:type="dxa"/>
            </w:tcMar>
          </w:tcPr>
          <w:p w14:paraId="0EC01DD1" w14:textId="48483A29" w:rsidR="00A46E52" w:rsidRDefault="00826822">
            <w:r>
              <w:rPr>
                <w:rFonts w:ascii="Arial" w:hAnsi="Arial"/>
                <w:sz w:val="16"/>
              </w:rPr>
              <w:t>The Service Provider must maintain security monitoring, alerting, investigation, incident logs, audit trails, dashboards/reporting and continuous optimisation. Any existing catalogue should therefore be confirmed during discovery. (TOR 7.1.2; 7.4.5; 7.4.8-7.4.9; 11.2)</w:t>
            </w:r>
          </w:p>
        </w:tc>
      </w:tr>
      <w:tr w:rsidR="69D00EF1" w14:paraId="3F299B6F" w14:textId="77777777" w:rsidTr="00F54D6E">
        <w:trPr>
          <w:trHeight w:val="300"/>
        </w:trPr>
        <w:tc>
          <w:tcPr>
            <w:tcW w:w="624" w:type="dxa"/>
            <w:tcMar>
              <w:top w:w="90" w:type="dxa"/>
              <w:left w:w="90" w:type="dxa"/>
              <w:bottom w:w="90" w:type="dxa"/>
              <w:right w:w="90" w:type="dxa"/>
            </w:tcMar>
          </w:tcPr>
          <w:p w14:paraId="2C39E717" w14:textId="595C3401" w:rsidR="69D00EF1" w:rsidRDefault="005D4345" w:rsidP="69D00EF1">
            <w:pPr>
              <w:rPr>
                <w:rFonts w:ascii="Arial" w:hAnsi="Arial" w:cs="Arial"/>
                <w:sz w:val="20"/>
                <w:szCs w:val="20"/>
              </w:rPr>
            </w:pPr>
            <w:r>
              <w:rPr>
                <w:rFonts w:ascii="Arial" w:hAnsi="Arial" w:cs="Arial"/>
                <w:sz w:val="16"/>
                <w:szCs w:val="20"/>
              </w:rPr>
              <w:t>16</w:t>
            </w:r>
          </w:p>
        </w:tc>
        <w:tc>
          <w:tcPr>
            <w:tcW w:w="1247" w:type="dxa"/>
            <w:tcMar>
              <w:top w:w="90" w:type="dxa"/>
              <w:left w:w="90" w:type="dxa"/>
              <w:bottom w:w="90" w:type="dxa"/>
              <w:right w:w="90" w:type="dxa"/>
            </w:tcMar>
          </w:tcPr>
          <w:p w14:paraId="2AF1BD32" w14:textId="3D0969E7"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3723118" w14:textId="227767A1" w:rsidR="69D00EF1" w:rsidRDefault="69D00EF1" w:rsidP="69D00EF1">
            <w:r w:rsidRPr="69D00EF1">
              <w:rPr>
                <w:rFonts w:ascii="Arial" w:eastAsia="Aptos" w:hAnsi="Arial" w:cs="Aptos"/>
                <w:color w:val="000000" w:themeColor="text1"/>
                <w:sz w:val="16"/>
                <w:szCs w:val="20"/>
              </w:rPr>
              <w:t>Please confirm whether the bidder must provide the centralised logging platform itself, including collectors/forwarders and storage, or whether only forwarding of logs to an NHBRC/third-party platform is required.</w:t>
            </w:r>
          </w:p>
        </w:tc>
        <w:tc>
          <w:tcPr>
            <w:tcW w:w="4535" w:type="dxa"/>
            <w:tcMar>
              <w:top w:w="90" w:type="dxa"/>
              <w:left w:w="90" w:type="dxa"/>
              <w:bottom w:w="90" w:type="dxa"/>
              <w:right w:w="90" w:type="dxa"/>
            </w:tcMar>
          </w:tcPr>
          <w:p w14:paraId="7B44A4E0" w14:textId="1B61F872" w:rsidR="00A46E52" w:rsidRDefault="00826822">
            <w:r>
              <w:rPr>
                <w:rFonts w:ascii="Arial" w:hAnsi="Arial"/>
                <w:sz w:val="16"/>
              </w:rPr>
              <w:t>The bidder must implement centralised logging across all managed environments and ensure logs are available for integration into external platforms. The TOR also requires logs and telemetry to be provided to NHBRC or a third-party SOC/SIEM. Therefore, collectors/forwarders and managed-environment logging are in scope</w:t>
            </w:r>
            <w:r w:rsidR="007222A2">
              <w:rPr>
                <w:rFonts w:ascii="Arial" w:hAnsi="Arial"/>
                <w:sz w:val="16"/>
              </w:rPr>
              <w:t>.</w:t>
            </w:r>
          </w:p>
        </w:tc>
      </w:tr>
      <w:tr w:rsidR="69D00EF1" w14:paraId="687E6176" w14:textId="77777777" w:rsidTr="00F54D6E">
        <w:trPr>
          <w:trHeight w:val="300"/>
        </w:trPr>
        <w:tc>
          <w:tcPr>
            <w:tcW w:w="624" w:type="dxa"/>
            <w:tcMar>
              <w:top w:w="90" w:type="dxa"/>
              <w:left w:w="90" w:type="dxa"/>
              <w:bottom w:w="90" w:type="dxa"/>
              <w:right w:w="90" w:type="dxa"/>
            </w:tcMar>
          </w:tcPr>
          <w:p w14:paraId="2E120E0B" w14:textId="679E8DA4" w:rsidR="69D00EF1" w:rsidRDefault="005D4345" w:rsidP="69D00EF1">
            <w:pPr>
              <w:rPr>
                <w:rFonts w:ascii="Arial" w:hAnsi="Arial" w:cs="Arial"/>
                <w:sz w:val="20"/>
                <w:szCs w:val="20"/>
              </w:rPr>
            </w:pPr>
            <w:r>
              <w:rPr>
                <w:rFonts w:ascii="Arial" w:hAnsi="Arial" w:cs="Arial"/>
                <w:sz w:val="16"/>
                <w:szCs w:val="20"/>
              </w:rPr>
              <w:t>17</w:t>
            </w:r>
          </w:p>
        </w:tc>
        <w:tc>
          <w:tcPr>
            <w:tcW w:w="1247" w:type="dxa"/>
            <w:tcMar>
              <w:top w:w="90" w:type="dxa"/>
              <w:left w:w="90" w:type="dxa"/>
              <w:bottom w:w="90" w:type="dxa"/>
              <w:right w:w="90" w:type="dxa"/>
            </w:tcMar>
          </w:tcPr>
          <w:p w14:paraId="3D6A8EBC" w14:textId="18EB9CE5"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7B341CA2" w14:textId="30392F5C" w:rsidR="69D00EF1" w:rsidRDefault="69D00EF1" w:rsidP="69D00EF1">
            <w:r w:rsidRPr="69D00EF1">
              <w:rPr>
                <w:rFonts w:ascii="Arial" w:eastAsia="Aptos" w:hAnsi="Arial" w:cs="Aptos"/>
                <w:color w:val="000000" w:themeColor="text1"/>
                <w:sz w:val="16"/>
                <w:szCs w:val="20"/>
              </w:rPr>
              <w:t>Please confirm the required SOC reporting and governance cadence for the security service, including any required dashboards, monthly reports, incident reports/RCA, and attendance at operational or governance meetings.</w:t>
            </w:r>
          </w:p>
          <w:p w14:paraId="02CDF5AE" w14:textId="78223CB9" w:rsidR="69D00EF1" w:rsidRDefault="69D00EF1" w:rsidP="69D00EF1">
            <w:pPr>
              <w:rPr>
                <w:rFonts w:ascii="Aptos" w:eastAsia="Aptos" w:hAnsi="Aptos" w:cs="Aptos"/>
                <w:color w:val="000000" w:themeColor="text1"/>
                <w:sz w:val="20"/>
                <w:szCs w:val="20"/>
              </w:rPr>
            </w:pPr>
          </w:p>
        </w:tc>
        <w:tc>
          <w:tcPr>
            <w:tcW w:w="4535" w:type="dxa"/>
            <w:tcMar>
              <w:top w:w="90" w:type="dxa"/>
              <w:left w:w="90" w:type="dxa"/>
              <w:bottom w:w="90" w:type="dxa"/>
              <w:right w:w="90" w:type="dxa"/>
            </w:tcMar>
          </w:tcPr>
          <w:p w14:paraId="1376304C" w14:textId="77777777" w:rsidR="00A46E52" w:rsidRDefault="00826822">
            <w:r>
              <w:rPr>
                <w:rFonts w:ascii="Arial" w:hAnsi="Arial"/>
                <w:sz w:val="16"/>
              </w:rPr>
              <w:t>Security reporting must cover incidents and response actions, vulnerability and patch-compliance status, security risks and trends. Monthly service reports must include a security posture summary and incident/RCA information, and are due within five business days. Governance includes monthly operational, quarterly service-review and executive-level meetings, plus participation in NHBRC security and risk governance structures. (TOR 7.4.9; 7.6.7.4.5; 7.7.2 and 7.7.5; 12.5)</w:t>
            </w:r>
          </w:p>
        </w:tc>
      </w:tr>
      <w:tr w:rsidR="69D00EF1" w14:paraId="0AB621ED" w14:textId="77777777" w:rsidTr="00F54D6E">
        <w:trPr>
          <w:trHeight w:val="300"/>
        </w:trPr>
        <w:tc>
          <w:tcPr>
            <w:tcW w:w="624" w:type="dxa"/>
            <w:tcMar>
              <w:top w:w="90" w:type="dxa"/>
              <w:left w:w="90" w:type="dxa"/>
              <w:bottom w:w="90" w:type="dxa"/>
              <w:right w:w="90" w:type="dxa"/>
            </w:tcMar>
          </w:tcPr>
          <w:p w14:paraId="79D4375E" w14:textId="0DFB3748" w:rsidR="69D00EF1" w:rsidRDefault="007E67C3" w:rsidP="69D00EF1">
            <w:pPr>
              <w:rPr>
                <w:rFonts w:ascii="Arial" w:hAnsi="Arial" w:cs="Arial"/>
                <w:sz w:val="20"/>
                <w:szCs w:val="20"/>
              </w:rPr>
            </w:pPr>
            <w:r>
              <w:rPr>
                <w:rFonts w:ascii="Arial" w:hAnsi="Arial" w:cs="Arial"/>
                <w:sz w:val="16"/>
                <w:szCs w:val="20"/>
              </w:rPr>
              <w:t>18</w:t>
            </w:r>
          </w:p>
        </w:tc>
        <w:tc>
          <w:tcPr>
            <w:tcW w:w="1247" w:type="dxa"/>
            <w:tcMar>
              <w:top w:w="90" w:type="dxa"/>
              <w:left w:w="90" w:type="dxa"/>
              <w:bottom w:w="90" w:type="dxa"/>
              <w:right w:w="90" w:type="dxa"/>
            </w:tcMar>
          </w:tcPr>
          <w:p w14:paraId="68614C53" w14:textId="1305625B" w:rsidR="32D8838C" w:rsidRDefault="32D8838C"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EDR/XDR</w:t>
            </w:r>
          </w:p>
        </w:tc>
        <w:tc>
          <w:tcPr>
            <w:tcW w:w="4082" w:type="dxa"/>
            <w:tcMar>
              <w:top w:w="90" w:type="dxa"/>
              <w:left w:w="90" w:type="dxa"/>
              <w:bottom w:w="90" w:type="dxa"/>
              <w:right w:w="90" w:type="dxa"/>
            </w:tcMar>
          </w:tcPr>
          <w:p w14:paraId="35C0ABF1" w14:textId="216C92C3" w:rsidR="69D00EF1" w:rsidRDefault="69D00EF1" w:rsidP="69D00EF1">
            <w:r w:rsidRPr="69D00EF1">
              <w:rPr>
                <w:rFonts w:ascii="Arial" w:eastAsia="Aptos" w:hAnsi="Arial" w:cs="Aptos"/>
                <w:color w:val="000000" w:themeColor="text1"/>
                <w:sz w:val="16"/>
                <w:szCs w:val="20"/>
              </w:rPr>
              <w:t>Please confirm whether EDR/XDR must cover only user endpoints and servers, or also Azure/cloud workloads, virtual machines and any other managed infrastructure components.</w:t>
            </w:r>
          </w:p>
        </w:tc>
        <w:tc>
          <w:tcPr>
            <w:tcW w:w="4535" w:type="dxa"/>
            <w:tcMar>
              <w:top w:w="90" w:type="dxa"/>
              <w:left w:w="90" w:type="dxa"/>
              <w:bottom w:w="90" w:type="dxa"/>
              <w:right w:w="90" w:type="dxa"/>
            </w:tcMar>
          </w:tcPr>
          <w:p w14:paraId="38277E18" w14:textId="77777777" w:rsidR="00A46E52" w:rsidRDefault="00826822">
            <w:r>
              <w:rPr>
                <w:rFonts w:ascii="Arial" w:hAnsi="Arial"/>
                <w:sz w:val="16"/>
              </w:rPr>
              <w:t>EDR/XDR is required as an infrastructure protection control across managed infrastructure. The scope is not limited to user endpoints; it includes servers, hosted systems, platforms and workloads under the Service Provider's control, including relevant Azure/cloud virtual machines and managed infrastructure components. (TOR 7.4.1-7.4.4)</w:t>
            </w:r>
          </w:p>
        </w:tc>
      </w:tr>
      <w:tr w:rsidR="69D00EF1" w14:paraId="544B2ADD" w14:textId="77777777" w:rsidTr="00F54D6E">
        <w:trPr>
          <w:trHeight w:val="300"/>
        </w:trPr>
        <w:tc>
          <w:tcPr>
            <w:tcW w:w="624" w:type="dxa"/>
            <w:tcMar>
              <w:top w:w="90" w:type="dxa"/>
              <w:left w:w="90" w:type="dxa"/>
              <w:bottom w:w="90" w:type="dxa"/>
              <w:right w:w="90" w:type="dxa"/>
            </w:tcMar>
          </w:tcPr>
          <w:p w14:paraId="7488B99B" w14:textId="6D7309B9" w:rsidR="69D00EF1" w:rsidRDefault="007E67C3" w:rsidP="69D00EF1">
            <w:pPr>
              <w:rPr>
                <w:rFonts w:ascii="Arial" w:hAnsi="Arial" w:cs="Arial"/>
                <w:sz w:val="20"/>
                <w:szCs w:val="20"/>
              </w:rPr>
            </w:pPr>
            <w:r>
              <w:rPr>
                <w:rFonts w:ascii="Arial" w:hAnsi="Arial" w:cs="Arial"/>
                <w:sz w:val="16"/>
                <w:szCs w:val="20"/>
              </w:rPr>
              <w:t>19</w:t>
            </w:r>
          </w:p>
        </w:tc>
        <w:tc>
          <w:tcPr>
            <w:tcW w:w="1247" w:type="dxa"/>
            <w:tcMar>
              <w:top w:w="90" w:type="dxa"/>
              <w:left w:w="90" w:type="dxa"/>
              <w:bottom w:w="90" w:type="dxa"/>
              <w:right w:w="90" w:type="dxa"/>
            </w:tcMar>
          </w:tcPr>
          <w:p w14:paraId="65709866" w14:textId="12C82E41"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5C0378B8" w14:textId="2CC79542" w:rsidR="69D00EF1" w:rsidRDefault="69D00EF1" w:rsidP="69D00EF1">
            <w:r w:rsidRPr="69D00EF1">
              <w:rPr>
                <w:rFonts w:ascii="Arial" w:eastAsia="Aptos" w:hAnsi="Arial" w:cs="Aptos"/>
                <w:color w:val="000000" w:themeColor="text1"/>
                <w:sz w:val="16"/>
                <w:szCs w:val="20"/>
              </w:rPr>
              <w:t>Please confirm the expected annual growth rate to be applied to EDR-protected assets for commercial sizing over the five-year contract term, and whether the TOR's minimum 20% annual growth assumption should be used for endpoint/security capacity as well.</w:t>
            </w:r>
          </w:p>
        </w:tc>
        <w:tc>
          <w:tcPr>
            <w:tcW w:w="4535" w:type="dxa"/>
            <w:tcMar>
              <w:top w:w="90" w:type="dxa"/>
              <w:left w:w="90" w:type="dxa"/>
              <w:bottom w:w="90" w:type="dxa"/>
              <w:right w:w="90" w:type="dxa"/>
            </w:tcMar>
          </w:tcPr>
          <w:p w14:paraId="5E1D382E" w14:textId="389E57A1" w:rsidR="00A46E52" w:rsidRDefault="00826822">
            <w:r>
              <w:rPr>
                <w:rFonts w:ascii="Arial" w:hAnsi="Arial"/>
                <w:sz w:val="16"/>
              </w:rPr>
              <w:t>Use the TOR baseline growth requirement of at least 20% per annum for solution sizing unless a more demanding domain-specific requirement applies. Annexure I expressly permits a 20% growth assumption per office</w:t>
            </w:r>
            <w:r w:rsidR="007222A2">
              <w:rPr>
                <w:rFonts w:ascii="Arial" w:hAnsi="Arial"/>
                <w:sz w:val="16"/>
              </w:rPr>
              <w:t>.</w:t>
            </w:r>
          </w:p>
        </w:tc>
      </w:tr>
      <w:tr w:rsidR="69D00EF1" w14:paraId="103065E1" w14:textId="77777777" w:rsidTr="00F54D6E">
        <w:trPr>
          <w:trHeight w:val="300"/>
        </w:trPr>
        <w:tc>
          <w:tcPr>
            <w:tcW w:w="624" w:type="dxa"/>
            <w:tcMar>
              <w:top w:w="90" w:type="dxa"/>
              <w:left w:w="90" w:type="dxa"/>
              <w:bottom w:w="90" w:type="dxa"/>
              <w:right w:w="90" w:type="dxa"/>
            </w:tcMar>
          </w:tcPr>
          <w:p w14:paraId="1340AD3E" w14:textId="16FBE36A" w:rsidR="69D00EF1" w:rsidRDefault="007E67C3" w:rsidP="69D00EF1">
            <w:pPr>
              <w:rPr>
                <w:rFonts w:ascii="Arial" w:hAnsi="Arial" w:cs="Arial"/>
                <w:sz w:val="20"/>
                <w:szCs w:val="20"/>
              </w:rPr>
            </w:pPr>
            <w:r>
              <w:rPr>
                <w:rFonts w:ascii="Arial" w:hAnsi="Arial" w:cs="Arial"/>
                <w:sz w:val="16"/>
                <w:szCs w:val="20"/>
              </w:rPr>
              <w:t>20</w:t>
            </w:r>
          </w:p>
        </w:tc>
        <w:tc>
          <w:tcPr>
            <w:tcW w:w="1247" w:type="dxa"/>
            <w:tcMar>
              <w:top w:w="90" w:type="dxa"/>
              <w:left w:w="90" w:type="dxa"/>
              <w:bottom w:w="90" w:type="dxa"/>
              <w:right w:w="90" w:type="dxa"/>
            </w:tcMar>
          </w:tcPr>
          <w:p w14:paraId="7DABC221" w14:textId="4268B665"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57E4E5B9" w14:textId="045CDFA6" w:rsidR="69D00EF1" w:rsidRDefault="69D00EF1" w:rsidP="69D00EF1">
            <w:r w:rsidRPr="69D00EF1">
              <w:rPr>
                <w:rFonts w:ascii="Arial" w:eastAsia="Aptos" w:hAnsi="Arial" w:cs="Aptos"/>
                <w:color w:val="000000" w:themeColor="text1"/>
                <w:sz w:val="16"/>
                <w:szCs w:val="20"/>
              </w:rPr>
              <w:t>Please confirm whether the successful bidder is responsible for EDR agent deployment to all existing devices, migration from any incumbent endpoint security tooling, and ongoing deployment to new devices during the contract.</w:t>
            </w:r>
          </w:p>
        </w:tc>
        <w:tc>
          <w:tcPr>
            <w:tcW w:w="4535" w:type="dxa"/>
            <w:tcMar>
              <w:top w:w="90" w:type="dxa"/>
              <w:left w:w="90" w:type="dxa"/>
              <w:bottom w:w="90" w:type="dxa"/>
              <w:right w:w="90" w:type="dxa"/>
            </w:tcMar>
          </w:tcPr>
          <w:p w14:paraId="22013845" w14:textId="2D949E2C" w:rsidR="00A46E52" w:rsidRDefault="00826822">
            <w:r>
              <w:rPr>
                <w:rFonts w:ascii="Arial" w:hAnsi="Arial"/>
                <w:sz w:val="16"/>
              </w:rPr>
              <w:t xml:space="preserve">Yes, deployment and ongoing management of EDR/XDR or equivalent across in-scope managed assets forms part of implementing and maintaining the required security controls. Migration and transition must include discovery, implementation of target </w:t>
            </w:r>
            <w:r>
              <w:rPr>
                <w:rFonts w:ascii="Arial" w:hAnsi="Arial"/>
                <w:sz w:val="16"/>
              </w:rPr>
              <w:lastRenderedPageBreak/>
              <w:t xml:space="preserve">components, security testing and decommissioning of legacy components where applicable. </w:t>
            </w:r>
          </w:p>
        </w:tc>
      </w:tr>
      <w:tr w:rsidR="69D00EF1" w14:paraId="0D00F9A9" w14:textId="77777777" w:rsidTr="00F54D6E">
        <w:trPr>
          <w:trHeight w:val="300"/>
        </w:trPr>
        <w:tc>
          <w:tcPr>
            <w:tcW w:w="624" w:type="dxa"/>
            <w:tcMar>
              <w:top w:w="90" w:type="dxa"/>
              <w:left w:w="90" w:type="dxa"/>
              <w:bottom w:w="90" w:type="dxa"/>
              <w:right w:w="90" w:type="dxa"/>
            </w:tcMar>
          </w:tcPr>
          <w:p w14:paraId="4FB08707" w14:textId="126AED15" w:rsidR="69D00EF1" w:rsidRDefault="007E67C3" w:rsidP="69D00EF1">
            <w:pPr>
              <w:rPr>
                <w:rFonts w:ascii="Arial" w:hAnsi="Arial" w:cs="Arial"/>
                <w:sz w:val="20"/>
                <w:szCs w:val="20"/>
              </w:rPr>
            </w:pPr>
            <w:r>
              <w:rPr>
                <w:rFonts w:ascii="Arial" w:hAnsi="Arial" w:cs="Arial"/>
                <w:sz w:val="16"/>
                <w:szCs w:val="20"/>
              </w:rPr>
              <w:lastRenderedPageBreak/>
              <w:t>21</w:t>
            </w:r>
          </w:p>
        </w:tc>
        <w:tc>
          <w:tcPr>
            <w:tcW w:w="1247" w:type="dxa"/>
            <w:tcMar>
              <w:top w:w="90" w:type="dxa"/>
              <w:left w:w="90" w:type="dxa"/>
              <w:bottom w:w="90" w:type="dxa"/>
              <w:right w:w="90" w:type="dxa"/>
            </w:tcMar>
          </w:tcPr>
          <w:p w14:paraId="4EBCC715" w14:textId="0EB22441"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CD3090E" w14:textId="31F1FA50" w:rsidR="69D00EF1" w:rsidRDefault="69D00EF1" w:rsidP="69D00EF1">
            <w:r w:rsidRPr="69D00EF1">
              <w:rPr>
                <w:rFonts w:ascii="Arial" w:eastAsia="Aptos" w:hAnsi="Arial" w:cs="Aptos"/>
                <w:color w:val="000000" w:themeColor="text1"/>
                <w:sz w:val="16"/>
                <w:szCs w:val="20"/>
              </w:rPr>
              <w:t>Please confirm the required operating model for EDR alerts: 24x7x365 monitoring and investigation, and whether the SOC may perform endpoint isolation/containment directly or must first obtain NHBRC approval.</w:t>
            </w:r>
          </w:p>
        </w:tc>
        <w:tc>
          <w:tcPr>
            <w:tcW w:w="4535" w:type="dxa"/>
            <w:tcMar>
              <w:top w:w="90" w:type="dxa"/>
              <w:left w:w="90" w:type="dxa"/>
              <w:bottom w:w="90" w:type="dxa"/>
              <w:right w:w="90" w:type="dxa"/>
            </w:tcMar>
          </w:tcPr>
          <w:p w14:paraId="23D876B3" w14:textId="77777777" w:rsidR="00A46E52" w:rsidRDefault="00826822">
            <w:r>
              <w:rPr>
                <w:rFonts w:ascii="Arial" w:hAnsi="Arial"/>
                <w:sz w:val="16"/>
              </w:rPr>
              <w:t>The managed service must provide 24x7x365 support and continuous monitoring, including investigation and response to security events. Endpoint isolation or containment authority is not explicitly delegated; it must follow agreed incident-response, escalation, change and emergency-authorisation procedures. (TOR 7.4.5; 7.4.7; 7.7.2.1.2; 10.1)</w:t>
            </w:r>
          </w:p>
        </w:tc>
      </w:tr>
      <w:tr w:rsidR="69D00EF1" w14:paraId="2AC9DF59" w14:textId="77777777" w:rsidTr="00F54D6E">
        <w:trPr>
          <w:trHeight w:val="300"/>
        </w:trPr>
        <w:tc>
          <w:tcPr>
            <w:tcW w:w="624" w:type="dxa"/>
            <w:tcMar>
              <w:top w:w="90" w:type="dxa"/>
              <w:left w:w="90" w:type="dxa"/>
              <w:bottom w:w="90" w:type="dxa"/>
              <w:right w:w="90" w:type="dxa"/>
            </w:tcMar>
          </w:tcPr>
          <w:p w14:paraId="4E31F9CB" w14:textId="07206304" w:rsidR="69D00EF1" w:rsidRDefault="007E67C3" w:rsidP="69D00EF1">
            <w:pPr>
              <w:rPr>
                <w:rFonts w:ascii="Arial" w:hAnsi="Arial" w:cs="Arial"/>
                <w:sz w:val="20"/>
                <w:szCs w:val="20"/>
              </w:rPr>
            </w:pPr>
            <w:r>
              <w:rPr>
                <w:rFonts w:ascii="Arial" w:hAnsi="Arial" w:cs="Arial"/>
                <w:sz w:val="16"/>
                <w:szCs w:val="20"/>
              </w:rPr>
              <w:t>22</w:t>
            </w:r>
          </w:p>
        </w:tc>
        <w:tc>
          <w:tcPr>
            <w:tcW w:w="1247" w:type="dxa"/>
            <w:tcMar>
              <w:top w:w="90" w:type="dxa"/>
              <w:left w:w="90" w:type="dxa"/>
              <w:bottom w:w="90" w:type="dxa"/>
              <w:right w:w="90" w:type="dxa"/>
            </w:tcMar>
          </w:tcPr>
          <w:p w14:paraId="16071420" w14:textId="2F8D8813"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6C575DB0" w14:textId="3109D0D8" w:rsidR="69D00EF1" w:rsidRDefault="69D00EF1" w:rsidP="69D00EF1">
            <w:r w:rsidRPr="69D00EF1">
              <w:rPr>
                <w:rFonts w:ascii="Arial" w:eastAsia="Aptos" w:hAnsi="Arial" w:cs="Aptos"/>
                <w:color w:val="000000" w:themeColor="text1"/>
                <w:sz w:val="16"/>
                <w:szCs w:val="20"/>
              </w:rPr>
              <w:t>Please clarify the bidder's responsibility for endpoint security policy design and configuration, including malware/ransomware prevention, behavioural detection, exclusions, policy tuning and agent-health monitoring.</w:t>
            </w:r>
          </w:p>
        </w:tc>
        <w:tc>
          <w:tcPr>
            <w:tcW w:w="4535" w:type="dxa"/>
            <w:tcMar>
              <w:top w:w="90" w:type="dxa"/>
              <w:left w:w="90" w:type="dxa"/>
              <w:bottom w:w="90" w:type="dxa"/>
              <w:right w:w="90" w:type="dxa"/>
            </w:tcMar>
          </w:tcPr>
          <w:p w14:paraId="424E7D61" w14:textId="77777777" w:rsidR="00A46E52" w:rsidRDefault="00826822">
            <w:r>
              <w:rPr>
                <w:rFonts w:ascii="Arial" w:hAnsi="Arial"/>
                <w:sz w:val="16"/>
              </w:rPr>
              <w:t>The bidder is responsible for implementing and maintaining endpoint/infrastructure hardening, EDR/XDR, malware and threat prevention, secure configuration baselines, vulnerability scanning, patch management and continuous monitoring. This includes policy configuration, tuning, health monitoring and reporting necessary to maintain the controls, aligned with NHBRC policy and industry best practice. (TOR 7.4.3-7.4.6)</w:t>
            </w:r>
          </w:p>
        </w:tc>
      </w:tr>
      <w:tr w:rsidR="69D00EF1" w14:paraId="132DC6C1" w14:textId="77777777" w:rsidTr="00F54D6E">
        <w:trPr>
          <w:trHeight w:val="300"/>
        </w:trPr>
        <w:tc>
          <w:tcPr>
            <w:tcW w:w="624" w:type="dxa"/>
            <w:tcMar>
              <w:top w:w="90" w:type="dxa"/>
              <w:left w:w="90" w:type="dxa"/>
              <w:bottom w:w="90" w:type="dxa"/>
              <w:right w:w="90" w:type="dxa"/>
            </w:tcMar>
          </w:tcPr>
          <w:p w14:paraId="47220E5B" w14:textId="4511674F" w:rsidR="69D00EF1" w:rsidRDefault="007E67C3" w:rsidP="69D00EF1">
            <w:pPr>
              <w:rPr>
                <w:rFonts w:ascii="Arial" w:hAnsi="Arial" w:cs="Arial"/>
                <w:sz w:val="20"/>
                <w:szCs w:val="20"/>
              </w:rPr>
            </w:pPr>
            <w:r>
              <w:rPr>
                <w:rFonts w:ascii="Arial" w:hAnsi="Arial" w:cs="Arial"/>
                <w:sz w:val="16"/>
                <w:szCs w:val="20"/>
              </w:rPr>
              <w:t>23</w:t>
            </w:r>
          </w:p>
        </w:tc>
        <w:tc>
          <w:tcPr>
            <w:tcW w:w="1247" w:type="dxa"/>
            <w:tcMar>
              <w:top w:w="90" w:type="dxa"/>
              <w:left w:w="90" w:type="dxa"/>
              <w:bottom w:w="90" w:type="dxa"/>
              <w:right w:w="90" w:type="dxa"/>
            </w:tcMar>
          </w:tcPr>
          <w:p w14:paraId="1C174EF6" w14:textId="43829200"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68CACB95" w14:textId="6BC0D908" w:rsidR="69D00EF1" w:rsidRDefault="69D00EF1" w:rsidP="69D00EF1">
            <w:r w:rsidRPr="69D00EF1">
              <w:rPr>
                <w:rFonts w:ascii="Arial" w:eastAsia="Aptos" w:hAnsi="Arial" w:cs="Aptos"/>
                <w:color w:val="000000" w:themeColor="text1"/>
                <w:sz w:val="16"/>
                <w:szCs w:val="20"/>
              </w:rPr>
              <w:t>Please confirm whether any existing anti-malware/endpoint protection products must coexist with the proposed EDR/XDR solution, and whether removal/reconfiguration of incumbent agents is included in scope.</w:t>
            </w:r>
          </w:p>
        </w:tc>
        <w:tc>
          <w:tcPr>
            <w:tcW w:w="4535" w:type="dxa"/>
            <w:tcMar>
              <w:top w:w="90" w:type="dxa"/>
              <w:left w:w="90" w:type="dxa"/>
              <w:bottom w:w="90" w:type="dxa"/>
              <w:right w:w="90" w:type="dxa"/>
            </w:tcMar>
          </w:tcPr>
          <w:p w14:paraId="582CCF99" w14:textId="3984B9ED" w:rsidR="00A46E52" w:rsidRDefault="00826822">
            <w:r>
              <w:rPr>
                <w:rFonts w:ascii="Arial" w:hAnsi="Arial"/>
                <w:sz w:val="16"/>
              </w:rPr>
              <w:t>The bidder must address discovery, dependencies, migration, pilot validation, rollback and legacy decommissioning in the migration plan. Removal or reconfiguration should be included where required by the approved target design. (TOR 11.2-11.6)</w:t>
            </w:r>
          </w:p>
        </w:tc>
      </w:tr>
      <w:tr w:rsidR="69D00EF1" w14:paraId="0C3936C9" w14:textId="77777777" w:rsidTr="00F54D6E">
        <w:trPr>
          <w:trHeight w:val="300"/>
        </w:trPr>
        <w:tc>
          <w:tcPr>
            <w:tcW w:w="624" w:type="dxa"/>
            <w:tcMar>
              <w:top w:w="90" w:type="dxa"/>
              <w:left w:w="90" w:type="dxa"/>
              <w:bottom w:w="90" w:type="dxa"/>
              <w:right w:w="90" w:type="dxa"/>
            </w:tcMar>
          </w:tcPr>
          <w:p w14:paraId="4666D6D3" w14:textId="0878AB16" w:rsidR="69D00EF1" w:rsidRDefault="007E67C3" w:rsidP="69D00EF1">
            <w:pPr>
              <w:rPr>
                <w:rFonts w:ascii="Arial" w:hAnsi="Arial" w:cs="Arial"/>
                <w:sz w:val="20"/>
                <w:szCs w:val="20"/>
              </w:rPr>
            </w:pPr>
            <w:r>
              <w:rPr>
                <w:rFonts w:ascii="Arial" w:hAnsi="Arial" w:cs="Arial"/>
                <w:sz w:val="16"/>
                <w:szCs w:val="20"/>
              </w:rPr>
              <w:t>24</w:t>
            </w:r>
          </w:p>
        </w:tc>
        <w:tc>
          <w:tcPr>
            <w:tcW w:w="1247" w:type="dxa"/>
            <w:tcMar>
              <w:top w:w="90" w:type="dxa"/>
              <w:left w:w="90" w:type="dxa"/>
              <w:bottom w:w="90" w:type="dxa"/>
              <w:right w:w="90" w:type="dxa"/>
            </w:tcMar>
          </w:tcPr>
          <w:p w14:paraId="3DD9B5C0" w14:textId="7FBBC526"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F236D37" w14:textId="5FFF42EA" w:rsidR="69D00EF1" w:rsidRDefault="69D00EF1" w:rsidP="69D00EF1">
            <w:r w:rsidRPr="69D00EF1">
              <w:rPr>
                <w:rFonts w:ascii="Arial" w:eastAsia="Aptos" w:hAnsi="Arial" w:cs="Aptos"/>
                <w:color w:val="000000" w:themeColor="text1"/>
                <w:sz w:val="16"/>
                <w:szCs w:val="20"/>
              </w:rPr>
              <w:t>Please confirm the required EDR reporting deliverables and frequency, including coverage/agent-health, detections, incidents, response actions and any SLA or compliance metrics.</w:t>
            </w:r>
          </w:p>
        </w:tc>
        <w:tc>
          <w:tcPr>
            <w:tcW w:w="4535" w:type="dxa"/>
            <w:tcMar>
              <w:top w:w="90" w:type="dxa"/>
              <w:left w:w="90" w:type="dxa"/>
              <w:bottom w:w="90" w:type="dxa"/>
              <w:right w:w="90" w:type="dxa"/>
            </w:tcMar>
          </w:tcPr>
          <w:p w14:paraId="4A2506DC" w14:textId="286F0E39" w:rsidR="00A46E52" w:rsidRDefault="00826822">
            <w:r>
              <w:rPr>
                <w:rFonts w:ascii="Arial" w:hAnsi="Arial"/>
                <w:sz w:val="16"/>
              </w:rPr>
              <w:t>EDR/security reporting must be regular and include security incidents, detections and response actions, vulnerability and patch compliance, risks and trends. Monthly reports must include SLA performance, availability, security posture and incident/RCA information. Agent coverage and health should be included as an operational security metric</w:t>
            </w:r>
            <w:r w:rsidR="007222A2">
              <w:rPr>
                <w:rFonts w:ascii="Arial" w:hAnsi="Arial"/>
                <w:sz w:val="16"/>
              </w:rPr>
              <w:t>.</w:t>
            </w:r>
          </w:p>
        </w:tc>
      </w:tr>
      <w:tr w:rsidR="69D00EF1" w14:paraId="55481238" w14:textId="77777777" w:rsidTr="00F54D6E">
        <w:trPr>
          <w:trHeight w:val="300"/>
        </w:trPr>
        <w:tc>
          <w:tcPr>
            <w:tcW w:w="624" w:type="dxa"/>
            <w:tcMar>
              <w:top w:w="90" w:type="dxa"/>
              <w:left w:w="90" w:type="dxa"/>
              <w:bottom w:w="90" w:type="dxa"/>
              <w:right w:w="90" w:type="dxa"/>
            </w:tcMar>
          </w:tcPr>
          <w:p w14:paraId="6008A971" w14:textId="204D2436" w:rsidR="69D00EF1" w:rsidRDefault="007E67C3" w:rsidP="69D00EF1">
            <w:pPr>
              <w:rPr>
                <w:rFonts w:ascii="Arial" w:hAnsi="Arial" w:cs="Arial"/>
                <w:sz w:val="20"/>
                <w:szCs w:val="20"/>
              </w:rPr>
            </w:pPr>
            <w:r>
              <w:rPr>
                <w:rFonts w:ascii="Arial" w:hAnsi="Arial" w:cs="Arial"/>
                <w:sz w:val="16"/>
                <w:szCs w:val="20"/>
              </w:rPr>
              <w:t>25</w:t>
            </w:r>
          </w:p>
        </w:tc>
        <w:tc>
          <w:tcPr>
            <w:tcW w:w="1247" w:type="dxa"/>
            <w:tcMar>
              <w:top w:w="90" w:type="dxa"/>
              <w:left w:w="90" w:type="dxa"/>
              <w:bottom w:w="90" w:type="dxa"/>
              <w:right w:w="90" w:type="dxa"/>
            </w:tcMar>
          </w:tcPr>
          <w:p w14:paraId="788DF6A5" w14:textId="0328FE1C"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D001897" w14:textId="053E3279"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confirm whether EDR/XDR telemetry must be integrated into the central SOC/SIEM solution and, if so, whether all raw telemetry or only alerts/incidents are required to be forwarded.</w:t>
            </w:r>
          </w:p>
        </w:tc>
        <w:tc>
          <w:tcPr>
            <w:tcW w:w="4535" w:type="dxa"/>
            <w:tcMar>
              <w:top w:w="90" w:type="dxa"/>
              <w:left w:w="90" w:type="dxa"/>
              <w:bottom w:w="90" w:type="dxa"/>
              <w:right w:w="90" w:type="dxa"/>
            </w:tcMar>
          </w:tcPr>
          <w:p w14:paraId="0984FD71" w14:textId="47817A65" w:rsidR="00A46E52" w:rsidRDefault="00826822">
            <w:r>
              <w:rPr>
                <w:rFonts w:ascii="Arial" w:hAnsi="Arial"/>
                <w:sz w:val="16"/>
              </w:rPr>
              <w:t xml:space="preserve">Yes. EDR/XDR security events must integrate with centralised monitoring and the NHBRC or third-party SOC/SIEM. </w:t>
            </w:r>
          </w:p>
        </w:tc>
      </w:tr>
      <w:tr w:rsidR="69D00EF1" w14:paraId="71CEDD09" w14:textId="77777777" w:rsidTr="00F54D6E">
        <w:trPr>
          <w:trHeight w:val="300"/>
        </w:trPr>
        <w:tc>
          <w:tcPr>
            <w:tcW w:w="624" w:type="dxa"/>
            <w:tcMar>
              <w:top w:w="90" w:type="dxa"/>
              <w:left w:w="90" w:type="dxa"/>
              <w:bottom w:w="90" w:type="dxa"/>
              <w:right w:w="90" w:type="dxa"/>
            </w:tcMar>
          </w:tcPr>
          <w:p w14:paraId="33E8F17A" w14:textId="343E8962" w:rsidR="69D00EF1" w:rsidRDefault="007E67C3" w:rsidP="69D00EF1">
            <w:pPr>
              <w:rPr>
                <w:rFonts w:ascii="Arial" w:hAnsi="Arial" w:cs="Arial"/>
                <w:sz w:val="20"/>
                <w:szCs w:val="20"/>
              </w:rPr>
            </w:pPr>
            <w:r>
              <w:rPr>
                <w:rFonts w:ascii="Arial" w:hAnsi="Arial" w:cs="Arial"/>
                <w:sz w:val="16"/>
                <w:szCs w:val="20"/>
              </w:rPr>
              <w:t>26</w:t>
            </w:r>
          </w:p>
        </w:tc>
        <w:tc>
          <w:tcPr>
            <w:tcW w:w="1247" w:type="dxa"/>
            <w:tcMar>
              <w:top w:w="90" w:type="dxa"/>
              <w:left w:w="90" w:type="dxa"/>
              <w:bottom w:w="90" w:type="dxa"/>
              <w:right w:w="90" w:type="dxa"/>
            </w:tcMar>
          </w:tcPr>
          <w:p w14:paraId="32C4F593" w14:textId="3EF387DB" w:rsidR="11A5A4B7" w:rsidRDefault="11A5A4B7"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Incident response and forensic services</w:t>
            </w:r>
          </w:p>
        </w:tc>
        <w:tc>
          <w:tcPr>
            <w:tcW w:w="4082" w:type="dxa"/>
            <w:tcMar>
              <w:top w:w="90" w:type="dxa"/>
              <w:left w:w="90" w:type="dxa"/>
              <w:bottom w:w="90" w:type="dxa"/>
              <w:right w:w="90" w:type="dxa"/>
            </w:tcMar>
          </w:tcPr>
          <w:p w14:paraId="15B60B95" w14:textId="4A28632B" w:rsidR="69D00EF1" w:rsidRDefault="69D00EF1" w:rsidP="69D00EF1">
            <w:r w:rsidRPr="69D00EF1">
              <w:rPr>
                <w:rFonts w:ascii="Arial" w:eastAsia="Aptos" w:hAnsi="Arial" w:cs="Aptos"/>
                <w:color w:val="000000" w:themeColor="text1"/>
                <w:sz w:val="16"/>
                <w:szCs w:val="20"/>
              </w:rPr>
              <w:t>Please confirm whether the one-hour security-event notification target is measured from initial alert generation, analyst validation or formal incident declaration.</w:t>
            </w:r>
          </w:p>
        </w:tc>
        <w:tc>
          <w:tcPr>
            <w:tcW w:w="4535" w:type="dxa"/>
            <w:tcMar>
              <w:top w:w="90" w:type="dxa"/>
              <w:left w:w="90" w:type="dxa"/>
              <w:bottom w:w="90" w:type="dxa"/>
              <w:right w:w="90" w:type="dxa"/>
            </w:tcMar>
          </w:tcPr>
          <w:p w14:paraId="4DFB9185" w14:textId="77777777" w:rsidR="00A46E52" w:rsidRDefault="00826822">
            <w:r>
              <w:rPr>
                <w:rFonts w:ascii="Arial" w:hAnsi="Arial"/>
                <w:sz w:val="16"/>
              </w:rPr>
              <w:t>The one-hour target is measured from detection, as stated in the service metrics. (TOR 7.6.7.4.4)</w:t>
            </w:r>
          </w:p>
        </w:tc>
      </w:tr>
      <w:tr w:rsidR="69D00EF1" w14:paraId="09452146" w14:textId="77777777" w:rsidTr="00F54D6E">
        <w:trPr>
          <w:trHeight w:val="300"/>
        </w:trPr>
        <w:tc>
          <w:tcPr>
            <w:tcW w:w="624" w:type="dxa"/>
            <w:tcMar>
              <w:top w:w="90" w:type="dxa"/>
              <w:left w:w="90" w:type="dxa"/>
              <w:bottom w:w="90" w:type="dxa"/>
              <w:right w:w="90" w:type="dxa"/>
            </w:tcMar>
          </w:tcPr>
          <w:p w14:paraId="29472C5F" w14:textId="6FBC0D5A" w:rsidR="69D00EF1" w:rsidRDefault="007E67C3" w:rsidP="69D00EF1">
            <w:pPr>
              <w:rPr>
                <w:rFonts w:ascii="Arial" w:hAnsi="Arial" w:cs="Arial"/>
                <w:sz w:val="20"/>
                <w:szCs w:val="20"/>
              </w:rPr>
            </w:pPr>
            <w:r>
              <w:rPr>
                <w:rFonts w:ascii="Arial" w:hAnsi="Arial" w:cs="Arial"/>
                <w:sz w:val="16"/>
                <w:szCs w:val="20"/>
              </w:rPr>
              <w:t>27</w:t>
            </w:r>
          </w:p>
        </w:tc>
        <w:tc>
          <w:tcPr>
            <w:tcW w:w="1247" w:type="dxa"/>
            <w:tcMar>
              <w:top w:w="90" w:type="dxa"/>
              <w:left w:w="90" w:type="dxa"/>
              <w:bottom w:w="90" w:type="dxa"/>
              <w:right w:w="90" w:type="dxa"/>
            </w:tcMar>
          </w:tcPr>
          <w:p w14:paraId="5D1F7135" w14:textId="7B8381B9"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1ED2D03B" w14:textId="45D413A8" w:rsidR="69D00EF1" w:rsidRDefault="69D00EF1" w:rsidP="69D00EF1">
            <w:r w:rsidRPr="69D00EF1">
              <w:rPr>
                <w:rFonts w:ascii="Arial" w:eastAsia="Aptos" w:hAnsi="Arial" w:cs="Aptos"/>
                <w:color w:val="000000" w:themeColor="text1"/>
                <w:sz w:val="16"/>
                <w:szCs w:val="20"/>
              </w:rPr>
              <w:t>Please provide NHBRC’s security-incident severity classifications, notification contacts and executive or regulatory escalation requirements.</w:t>
            </w:r>
          </w:p>
        </w:tc>
        <w:tc>
          <w:tcPr>
            <w:tcW w:w="4535" w:type="dxa"/>
            <w:tcMar>
              <w:top w:w="90" w:type="dxa"/>
              <w:left w:w="90" w:type="dxa"/>
              <w:bottom w:w="90" w:type="dxa"/>
              <w:right w:w="90" w:type="dxa"/>
            </w:tcMar>
          </w:tcPr>
          <w:p w14:paraId="470A815E" w14:textId="5FDE4D03" w:rsidR="00A46E52" w:rsidRDefault="00826822">
            <w:r>
              <w:rPr>
                <w:rFonts w:ascii="Arial" w:hAnsi="Arial"/>
                <w:sz w:val="16"/>
              </w:rPr>
              <w:t>The TOR provides P1-P4 operational priorities and associated acknowledgement, response and restore targets</w:t>
            </w:r>
            <w:r w:rsidR="007222A2">
              <w:rPr>
                <w:rFonts w:ascii="Arial" w:hAnsi="Arial"/>
                <w:sz w:val="16"/>
              </w:rPr>
              <w:t>.</w:t>
            </w:r>
            <w:r>
              <w:rPr>
                <w:rFonts w:ascii="Arial" w:hAnsi="Arial"/>
                <w:sz w:val="16"/>
              </w:rPr>
              <w:t xml:space="preserve"> These must be documented in the agreed escalation and incident-response procedures. (TOR 7.6.7.2; 7.7.6; 7.4.7)</w:t>
            </w:r>
          </w:p>
        </w:tc>
      </w:tr>
      <w:tr w:rsidR="69D00EF1" w14:paraId="0A577DF3" w14:textId="77777777" w:rsidTr="00F54D6E">
        <w:trPr>
          <w:trHeight w:val="300"/>
        </w:trPr>
        <w:tc>
          <w:tcPr>
            <w:tcW w:w="624" w:type="dxa"/>
            <w:tcMar>
              <w:top w:w="90" w:type="dxa"/>
              <w:left w:w="90" w:type="dxa"/>
              <w:bottom w:w="90" w:type="dxa"/>
              <w:right w:w="90" w:type="dxa"/>
            </w:tcMar>
          </w:tcPr>
          <w:p w14:paraId="63667080" w14:textId="243C387A" w:rsidR="69D00EF1" w:rsidRDefault="007E67C3" w:rsidP="69D00EF1">
            <w:pPr>
              <w:rPr>
                <w:rFonts w:ascii="Arial" w:hAnsi="Arial" w:cs="Arial"/>
                <w:sz w:val="20"/>
                <w:szCs w:val="20"/>
              </w:rPr>
            </w:pPr>
            <w:r>
              <w:rPr>
                <w:rFonts w:ascii="Arial" w:hAnsi="Arial" w:cs="Arial"/>
                <w:sz w:val="16"/>
                <w:szCs w:val="20"/>
              </w:rPr>
              <w:t>28</w:t>
            </w:r>
          </w:p>
        </w:tc>
        <w:tc>
          <w:tcPr>
            <w:tcW w:w="1247" w:type="dxa"/>
            <w:tcMar>
              <w:top w:w="90" w:type="dxa"/>
              <w:left w:w="90" w:type="dxa"/>
              <w:bottom w:w="90" w:type="dxa"/>
              <w:right w:w="90" w:type="dxa"/>
            </w:tcMar>
          </w:tcPr>
          <w:p w14:paraId="6F9D22E5" w14:textId="634498DC"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7047CAD9" w14:textId="75781BC1"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Does the required service include digital forensics, malware analysis, evidence preservation and forensic investigation, or should these be separately priced?</w:t>
            </w:r>
          </w:p>
        </w:tc>
        <w:tc>
          <w:tcPr>
            <w:tcW w:w="4535" w:type="dxa"/>
            <w:tcMar>
              <w:top w:w="90" w:type="dxa"/>
              <w:left w:w="90" w:type="dxa"/>
              <w:bottom w:w="90" w:type="dxa"/>
              <w:right w:w="90" w:type="dxa"/>
            </w:tcMar>
          </w:tcPr>
          <w:p w14:paraId="7911DC1F" w14:textId="43960042" w:rsidR="00A46E52" w:rsidRDefault="00826822">
            <w:r>
              <w:rPr>
                <w:rFonts w:ascii="Arial" w:hAnsi="Arial"/>
                <w:sz w:val="16"/>
              </w:rPr>
              <w:t>The bidder must support security investigation, containment, remediation, incident reporting and RCA. If proposed, these should be clearly identified and priced in the technology stack and pricing schedules rather than assumed. (TOR 7.4.7; 19; Annexures C-H)</w:t>
            </w:r>
          </w:p>
        </w:tc>
      </w:tr>
      <w:tr w:rsidR="69D00EF1" w14:paraId="4C7E5DCF" w14:textId="77777777" w:rsidTr="00F54D6E">
        <w:trPr>
          <w:trHeight w:val="300"/>
        </w:trPr>
        <w:tc>
          <w:tcPr>
            <w:tcW w:w="624" w:type="dxa"/>
            <w:tcMar>
              <w:top w:w="90" w:type="dxa"/>
              <w:left w:w="90" w:type="dxa"/>
              <w:bottom w:w="90" w:type="dxa"/>
              <w:right w:w="90" w:type="dxa"/>
            </w:tcMar>
          </w:tcPr>
          <w:p w14:paraId="55F7ED5D" w14:textId="3FA7A6C6" w:rsidR="69D00EF1" w:rsidRDefault="007E67C3" w:rsidP="69D00EF1">
            <w:pPr>
              <w:rPr>
                <w:rFonts w:ascii="Arial" w:hAnsi="Arial" w:cs="Arial"/>
                <w:sz w:val="20"/>
                <w:szCs w:val="20"/>
              </w:rPr>
            </w:pPr>
            <w:r>
              <w:rPr>
                <w:rFonts w:ascii="Arial" w:hAnsi="Arial" w:cs="Arial"/>
                <w:sz w:val="16"/>
                <w:szCs w:val="20"/>
              </w:rPr>
              <w:t>29</w:t>
            </w:r>
          </w:p>
        </w:tc>
        <w:tc>
          <w:tcPr>
            <w:tcW w:w="1247" w:type="dxa"/>
            <w:tcMar>
              <w:top w:w="90" w:type="dxa"/>
              <w:left w:w="90" w:type="dxa"/>
              <w:bottom w:w="90" w:type="dxa"/>
              <w:right w:w="90" w:type="dxa"/>
            </w:tcMar>
          </w:tcPr>
          <w:p w14:paraId="100CA7B7" w14:textId="7612669C"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23696C59" w14:textId="3C859089"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identify the containment actions that BCX may perform without prior NHBRC approval and those requiring business authorisation or emergency change approval.</w:t>
            </w:r>
          </w:p>
        </w:tc>
        <w:tc>
          <w:tcPr>
            <w:tcW w:w="4535" w:type="dxa"/>
            <w:tcMar>
              <w:top w:w="90" w:type="dxa"/>
              <w:left w:w="90" w:type="dxa"/>
              <w:bottom w:w="90" w:type="dxa"/>
              <w:right w:w="90" w:type="dxa"/>
            </w:tcMar>
          </w:tcPr>
          <w:p w14:paraId="3D367D75" w14:textId="36877EF0" w:rsidR="00A46E52" w:rsidRDefault="00826822">
            <w:r>
              <w:rPr>
                <w:rFonts w:ascii="Arial" w:hAnsi="Arial"/>
                <w:sz w:val="16"/>
              </w:rPr>
              <w:t>Actions must be governed by documented incident-response procedures, the formal escalation framework, incident/problem/change management and NHBRC approval requirements. The bidder should propose an authority matrix distinguishing pre-approved emergency actions from actions requiring business or emergency-change approval. (TOR 7.4.7; 7.7.2; 7.7.6)</w:t>
            </w:r>
          </w:p>
        </w:tc>
      </w:tr>
      <w:tr w:rsidR="69D00EF1" w14:paraId="166FB16A" w14:textId="77777777" w:rsidTr="00F54D6E">
        <w:trPr>
          <w:trHeight w:val="300"/>
        </w:trPr>
        <w:tc>
          <w:tcPr>
            <w:tcW w:w="624" w:type="dxa"/>
            <w:tcMar>
              <w:top w:w="90" w:type="dxa"/>
              <w:left w:w="90" w:type="dxa"/>
              <w:bottom w:w="90" w:type="dxa"/>
              <w:right w:w="90" w:type="dxa"/>
            </w:tcMar>
          </w:tcPr>
          <w:p w14:paraId="49DE89E1" w14:textId="6192F4DE" w:rsidR="69D00EF1" w:rsidRDefault="007E67C3" w:rsidP="69D00EF1">
            <w:pPr>
              <w:rPr>
                <w:rFonts w:ascii="Arial" w:hAnsi="Arial" w:cs="Arial"/>
                <w:sz w:val="20"/>
                <w:szCs w:val="20"/>
              </w:rPr>
            </w:pPr>
            <w:r>
              <w:rPr>
                <w:rFonts w:ascii="Arial" w:hAnsi="Arial" w:cs="Arial"/>
                <w:sz w:val="16"/>
                <w:szCs w:val="20"/>
              </w:rPr>
              <w:lastRenderedPageBreak/>
              <w:t>30</w:t>
            </w:r>
          </w:p>
        </w:tc>
        <w:tc>
          <w:tcPr>
            <w:tcW w:w="1247" w:type="dxa"/>
            <w:tcMar>
              <w:top w:w="90" w:type="dxa"/>
              <w:left w:w="90" w:type="dxa"/>
              <w:bottom w:w="90" w:type="dxa"/>
              <w:right w:w="90" w:type="dxa"/>
            </w:tcMar>
          </w:tcPr>
          <w:p w14:paraId="41E8AC4E" w14:textId="3BBB0A67"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21F9265F" w14:textId="537EFDEF"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confirm the required timeframes for preliminary incident reports, root-cause analysis and final corrective-action reports.</w:t>
            </w:r>
          </w:p>
        </w:tc>
        <w:tc>
          <w:tcPr>
            <w:tcW w:w="4535" w:type="dxa"/>
            <w:tcMar>
              <w:top w:w="90" w:type="dxa"/>
              <w:left w:w="90" w:type="dxa"/>
              <w:bottom w:w="90" w:type="dxa"/>
              <w:right w:w="90" w:type="dxa"/>
            </w:tcMar>
          </w:tcPr>
          <w:p w14:paraId="6E77D66E" w14:textId="071D7B15" w:rsidR="00A46E52" w:rsidRDefault="00826822">
            <w:r>
              <w:rPr>
                <w:rFonts w:ascii="Arial" w:hAnsi="Arial"/>
                <w:sz w:val="16"/>
              </w:rPr>
              <w:t>The TOR requires incident reports with root-cause analysis and corrective actions and includes incident/RCA information in monthly reports. These timeframes must be agreed in the SLA and incident-response procedures. (TOR 7.4.7.1.5; 12.5; 15.2)</w:t>
            </w:r>
          </w:p>
        </w:tc>
      </w:tr>
      <w:tr w:rsidR="69D00EF1" w14:paraId="6A4AD4B7" w14:textId="77777777" w:rsidTr="00F54D6E">
        <w:trPr>
          <w:trHeight w:val="300"/>
        </w:trPr>
        <w:tc>
          <w:tcPr>
            <w:tcW w:w="624" w:type="dxa"/>
            <w:tcMar>
              <w:top w:w="90" w:type="dxa"/>
              <w:left w:w="90" w:type="dxa"/>
              <w:bottom w:w="90" w:type="dxa"/>
              <w:right w:w="90" w:type="dxa"/>
            </w:tcMar>
          </w:tcPr>
          <w:p w14:paraId="3AFAE37A" w14:textId="7E6072F6" w:rsidR="69D00EF1" w:rsidRDefault="007E67C3" w:rsidP="69D00EF1">
            <w:pPr>
              <w:rPr>
                <w:rFonts w:ascii="Arial" w:hAnsi="Arial" w:cs="Arial"/>
                <w:sz w:val="20"/>
                <w:szCs w:val="20"/>
              </w:rPr>
            </w:pPr>
            <w:r>
              <w:rPr>
                <w:rFonts w:ascii="Arial" w:hAnsi="Arial" w:cs="Arial"/>
                <w:sz w:val="16"/>
                <w:szCs w:val="20"/>
              </w:rPr>
              <w:t>31</w:t>
            </w:r>
          </w:p>
        </w:tc>
        <w:tc>
          <w:tcPr>
            <w:tcW w:w="1247" w:type="dxa"/>
            <w:tcMar>
              <w:top w:w="90" w:type="dxa"/>
              <w:left w:w="90" w:type="dxa"/>
              <w:bottom w:w="90" w:type="dxa"/>
              <w:right w:w="90" w:type="dxa"/>
            </w:tcMar>
          </w:tcPr>
          <w:p w14:paraId="66F33B3E" w14:textId="58788063" w:rsidR="590A4DC6" w:rsidRDefault="590A4DC6" w:rsidP="69D00EF1">
            <w:pPr>
              <w:rPr>
                <w:rFonts w:ascii="Arial" w:eastAsia="Arial" w:hAnsi="Arial" w:cs="Arial"/>
                <w:sz w:val="20"/>
                <w:szCs w:val="20"/>
              </w:rPr>
            </w:pPr>
            <w:r w:rsidRPr="69D00EF1">
              <w:rPr>
                <w:rFonts w:ascii="Arial" w:eastAsia="Aptos" w:hAnsi="Arial" w:cs="Aptos"/>
                <w:color w:val="000000" w:themeColor="text1"/>
                <w:sz w:val="16"/>
                <w:szCs w:val="20"/>
              </w:rPr>
              <w:t>Data residency, POPIA and SaaS services</w:t>
            </w:r>
          </w:p>
        </w:tc>
        <w:tc>
          <w:tcPr>
            <w:tcW w:w="4082" w:type="dxa"/>
            <w:tcMar>
              <w:top w:w="90" w:type="dxa"/>
              <w:left w:w="90" w:type="dxa"/>
              <w:bottom w:w="90" w:type="dxa"/>
              <w:right w:w="90" w:type="dxa"/>
            </w:tcMar>
          </w:tcPr>
          <w:p w14:paraId="1BBAA325" w14:textId="40E641DB"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Does the South African hosting requirement apply to all NHBRC information, or specifically to personal information as stated in the clause?</w:t>
            </w:r>
          </w:p>
        </w:tc>
        <w:tc>
          <w:tcPr>
            <w:tcW w:w="4535" w:type="dxa"/>
            <w:tcMar>
              <w:top w:w="90" w:type="dxa"/>
              <w:left w:w="90" w:type="dxa"/>
              <w:bottom w:w="90" w:type="dxa"/>
              <w:right w:w="90" w:type="dxa"/>
            </w:tcMar>
          </w:tcPr>
          <w:p w14:paraId="066A2D81" w14:textId="77777777" w:rsidR="00A46E52" w:rsidRDefault="00826822">
            <w:r>
              <w:rPr>
                <w:rFonts w:ascii="Arial" w:hAnsi="Arial"/>
                <w:sz w:val="16"/>
              </w:rPr>
              <w:t>The explicit in-country hosting restriction in the POPIA Operator clause applies to personal information: all personal information must remain hosted within South Africa unless NHBRC explicitly authorises otherwise. Separately, the primary data centre and DR environment must be located in South Africa. (TOR 7.2.2.2.2; 7.4.11.2.6-7.4.11.2.7; 7.5.5.1.1)</w:t>
            </w:r>
          </w:p>
        </w:tc>
      </w:tr>
      <w:tr w:rsidR="69D00EF1" w14:paraId="61C5057B" w14:textId="77777777" w:rsidTr="00F54D6E">
        <w:trPr>
          <w:trHeight w:val="300"/>
        </w:trPr>
        <w:tc>
          <w:tcPr>
            <w:tcW w:w="624" w:type="dxa"/>
            <w:tcMar>
              <w:top w:w="90" w:type="dxa"/>
              <w:left w:w="90" w:type="dxa"/>
              <w:bottom w:w="90" w:type="dxa"/>
              <w:right w:w="90" w:type="dxa"/>
            </w:tcMar>
          </w:tcPr>
          <w:p w14:paraId="018BF43B" w14:textId="5D33F1C1" w:rsidR="69D00EF1" w:rsidRDefault="007E67C3" w:rsidP="69D00EF1">
            <w:pPr>
              <w:rPr>
                <w:rFonts w:ascii="Arial" w:hAnsi="Arial" w:cs="Arial"/>
                <w:sz w:val="20"/>
                <w:szCs w:val="20"/>
              </w:rPr>
            </w:pPr>
            <w:r>
              <w:rPr>
                <w:rFonts w:ascii="Arial" w:hAnsi="Arial" w:cs="Arial"/>
                <w:sz w:val="16"/>
                <w:szCs w:val="20"/>
              </w:rPr>
              <w:t>32</w:t>
            </w:r>
          </w:p>
        </w:tc>
        <w:tc>
          <w:tcPr>
            <w:tcW w:w="1247" w:type="dxa"/>
            <w:tcMar>
              <w:top w:w="90" w:type="dxa"/>
              <w:left w:w="90" w:type="dxa"/>
              <w:bottom w:w="90" w:type="dxa"/>
              <w:right w:w="90" w:type="dxa"/>
            </w:tcMar>
          </w:tcPr>
          <w:p w14:paraId="2B48EAB9" w14:textId="7CCC6EA1"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1E93CCF4" w14:textId="51A24711"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May bidders propose SaaS security platforms hosted outside South Africa where NHBRC provides written approval and appropriate POPIA safeguards are implemented?</w:t>
            </w:r>
          </w:p>
        </w:tc>
        <w:tc>
          <w:tcPr>
            <w:tcW w:w="4535" w:type="dxa"/>
            <w:tcMar>
              <w:top w:w="90" w:type="dxa"/>
              <w:left w:w="90" w:type="dxa"/>
              <w:bottom w:w="90" w:type="dxa"/>
              <w:right w:w="90" w:type="dxa"/>
            </w:tcMar>
          </w:tcPr>
          <w:p w14:paraId="326064F0" w14:textId="1852CB1C" w:rsidR="00A46E52" w:rsidRDefault="00826822">
            <w:r>
              <w:rPr>
                <w:rFonts w:ascii="Arial" w:hAnsi="Arial"/>
                <w:sz w:val="16"/>
              </w:rPr>
              <w:t>Personal information must remain in South Africa unless explicitly authorised, and the Operator must implement controls for cross-border transfers. (TOR 7.4.11.2.6-7.4.11.2.7)</w:t>
            </w:r>
          </w:p>
        </w:tc>
      </w:tr>
      <w:tr w:rsidR="69D00EF1" w14:paraId="5B77AC02" w14:textId="77777777" w:rsidTr="00F54D6E">
        <w:trPr>
          <w:trHeight w:val="300"/>
        </w:trPr>
        <w:tc>
          <w:tcPr>
            <w:tcW w:w="624" w:type="dxa"/>
            <w:tcMar>
              <w:top w:w="90" w:type="dxa"/>
              <w:left w:w="90" w:type="dxa"/>
              <w:bottom w:w="90" w:type="dxa"/>
              <w:right w:w="90" w:type="dxa"/>
            </w:tcMar>
          </w:tcPr>
          <w:p w14:paraId="03107733" w14:textId="05FD2207" w:rsidR="69D00EF1" w:rsidRDefault="007E67C3" w:rsidP="69D00EF1">
            <w:pPr>
              <w:rPr>
                <w:rFonts w:ascii="Arial" w:hAnsi="Arial" w:cs="Arial"/>
                <w:sz w:val="20"/>
                <w:szCs w:val="20"/>
              </w:rPr>
            </w:pPr>
            <w:r>
              <w:rPr>
                <w:rFonts w:ascii="Arial" w:hAnsi="Arial" w:cs="Arial"/>
                <w:sz w:val="16"/>
                <w:szCs w:val="20"/>
              </w:rPr>
              <w:t>33</w:t>
            </w:r>
          </w:p>
        </w:tc>
        <w:tc>
          <w:tcPr>
            <w:tcW w:w="1247" w:type="dxa"/>
            <w:tcMar>
              <w:top w:w="90" w:type="dxa"/>
              <w:left w:w="90" w:type="dxa"/>
              <w:bottom w:w="90" w:type="dxa"/>
              <w:right w:w="90" w:type="dxa"/>
            </w:tcMar>
          </w:tcPr>
          <w:p w14:paraId="0637DA34" w14:textId="3113F790"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1F6745B" w14:textId="0424244D"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provide the required process and approval timeframe for registering OEMs, cloud providers and specialist subcontractors as Sub-Operators.</w:t>
            </w:r>
          </w:p>
        </w:tc>
        <w:tc>
          <w:tcPr>
            <w:tcW w:w="4535" w:type="dxa"/>
            <w:tcMar>
              <w:top w:w="90" w:type="dxa"/>
              <w:left w:w="90" w:type="dxa"/>
              <w:bottom w:w="90" w:type="dxa"/>
              <w:right w:w="90" w:type="dxa"/>
            </w:tcMar>
          </w:tcPr>
          <w:p w14:paraId="370D1212" w14:textId="1F6C6E63" w:rsidR="00A46E52" w:rsidRDefault="00826822">
            <w:r>
              <w:rPr>
                <w:rFonts w:ascii="Arial" w:hAnsi="Arial"/>
                <w:sz w:val="16"/>
              </w:rPr>
              <w:t>Before appointing any Sub-Operator, the Service Provider must obtain NHBRC's prior written approval and maintain an approved Sub-Operator Register. Bidders must disclose third-party, hosted, subcontracted and OEM-delivered services in the proposal. (TOR 7.4.11.2.4-7.4.11.2.5; 19.4)</w:t>
            </w:r>
          </w:p>
        </w:tc>
      </w:tr>
      <w:tr w:rsidR="69D00EF1" w14:paraId="12F6EC70" w14:textId="77777777" w:rsidTr="00F54D6E">
        <w:trPr>
          <w:trHeight w:val="300"/>
        </w:trPr>
        <w:tc>
          <w:tcPr>
            <w:tcW w:w="624" w:type="dxa"/>
            <w:tcMar>
              <w:top w:w="90" w:type="dxa"/>
              <w:left w:w="90" w:type="dxa"/>
              <w:bottom w:w="90" w:type="dxa"/>
              <w:right w:w="90" w:type="dxa"/>
            </w:tcMar>
          </w:tcPr>
          <w:p w14:paraId="6D4D080C" w14:textId="6C99ECAB" w:rsidR="69D00EF1" w:rsidRDefault="007E67C3" w:rsidP="69D00EF1">
            <w:pPr>
              <w:rPr>
                <w:rFonts w:ascii="Arial" w:hAnsi="Arial" w:cs="Arial"/>
                <w:sz w:val="20"/>
                <w:szCs w:val="20"/>
              </w:rPr>
            </w:pPr>
            <w:r>
              <w:rPr>
                <w:rFonts w:ascii="Arial" w:hAnsi="Arial" w:cs="Arial"/>
                <w:sz w:val="16"/>
                <w:szCs w:val="20"/>
              </w:rPr>
              <w:t>34</w:t>
            </w:r>
          </w:p>
        </w:tc>
        <w:tc>
          <w:tcPr>
            <w:tcW w:w="1247" w:type="dxa"/>
            <w:tcMar>
              <w:top w:w="90" w:type="dxa"/>
              <w:left w:w="90" w:type="dxa"/>
              <w:bottom w:w="90" w:type="dxa"/>
              <w:right w:w="90" w:type="dxa"/>
            </w:tcMar>
          </w:tcPr>
          <w:p w14:paraId="395F1F47" w14:textId="6712ED33"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04D2A568" w14:textId="47D33DFD"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clarify the audit rights that SaaS and OEM providers must contractually grant to NHBRC.</w:t>
            </w:r>
          </w:p>
        </w:tc>
        <w:tc>
          <w:tcPr>
            <w:tcW w:w="4535" w:type="dxa"/>
            <w:tcMar>
              <w:top w:w="90" w:type="dxa"/>
              <w:left w:w="90" w:type="dxa"/>
              <w:bottom w:w="90" w:type="dxa"/>
              <w:right w:w="90" w:type="dxa"/>
            </w:tcMar>
          </w:tcPr>
          <w:p w14:paraId="0B7B0FF0" w14:textId="55A1C5A9" w:rsidR="00A46E52" w:rsidRDefault="00826822">
            <w:r>
              <w:rPr>
                <w:rFonts w:ascii="Arial" w:hAnsi="Arial"/>
                <w:sz w:val="16"/>
              </w:rPr>
              <w:t>SaaS/OEM arrangements must provide NHBRC with audit rights relating to the processing and safeguarding of personal information and support security incidents, breach investigations, regulatory enquiries and audit activities.</w:t>
            </w:r>
          </w:p>
        </w:tc>
      </w:tr>
      <w:tr w:rsidR="69D00EF1" w14:paraId="52872A56" w14:textId="77777777" w:rsidTr="00F54D6E">
        <w:trPr>
          <w:trHeight w:val="300"/>
        </w:trPr>
        <w:tc>
          <w:tcPr>
            <w:tcW w:w="624" w:type="dxa"/>
            <w:tcMar>
              <w:top w:w="90" w:type="dxa"/>
              <w:left w:w="90" w:type="dxa"/>
              <w:bottom w:w="90" w:type="dxa"/>
              <w:right w:w="90" w:type="dxa"/>
            </w:tcMar>
          </w:tcPr>
          <w:p w14:paraId="63AF1B8D" w14:textId="2DC16774" w:rsidR="69D00EF1" w:rsidRDefault="007E67C3" w:rsidP="69D00EF1">
            <w:pPr>
              <w:rPr>
                <w:rFonts w:ascii="Arial" w:hAnsi="Arial" w:cs="Arial"/>
                <w:sz w:val="20"/>
                <w:szCs w:val="20"/>
              </w:rPr>
            </w:pPr>
            <w:r>
              <w:rPr>
                <w:rFonts w:ascii="Arial" w:hAnsi="Arial" w:cs="Arial"/>
                <w:sz w:val="16"/>
                <w:szCs w:val="20"/>
              </w:rPr>
              <w:t>35</w:t>
            </w:r>
          </w:p>
        </w:tc>
        <w:tc>
          <w:tcPr>
            <w:tcW w:w="1247" w:type="dxa"/>
            <w:tcMar>
              <w:top w:w="90" w:type="dxa"/>
              <w:left w:w="90" w:type="dxa"/>
              <w:bottom w:w="90" w:type="dxa"/>
              <w:right w:w="90" w:type="dxa"/>
            </w:tcMar>
          </w:tcPr>
          <w:p w14:paraId="62085CA1" w14:textId="5700D6ED"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9DCC17E" w14:textId="18E232CE"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specify the required format, timeframe and certification standard for data return and destruction at contract exit.</w:t>
            </w:r>
          </w:p>
        </w:tc>
        <w:tc>
          <w:tcPr>
            <w:tcW w:w="4535" w:type="dxa"/>
            <w:tcMar>
              <w:top w:w="90" w:type="dxa"/>
              <w:left w:w="90" w:type="dxa"/>
              <w:bottom w:w="90" w:type="dxa"/>
              <w:right w:w="90" w:type="dxa"/>
            </w:tcMar>
          </w:tcPr>
          <w:p w14:paraId="0B1F2409" w14:textId="4B894DC4" w:rsidR="00A46E52" w:rsidRDefault="00826822">
            <w:r>
              <w:rPr>
                <w:rFonts w:ascii="Arial" w:hAnsi="Arial"/>
                <w:sz w:val="16"/>
              </w:rPr>
              <w:t>At exit, all NHBRC data must be returned in an agreed format, and certified evidence of secure destruction of residual copies must be provided. The initial Exit Management Plan is due within 30 calendar days of contract commencement and must be reviewed annually.</w:t>
            </w:r>
          </w:p>
        </w:tc>
      </w:tr>
      <w:tr w:rsidR="69D00EF1" w14:paraId="0D23B457" w14:textId="77777777" w:rsidTr="00F54D6E">
        <w:trPr>
          <w:trHeight w:val="300"/>
        </w:trPr>
        <w:tc>
          <w:tcPr>
            <w:tcW w:w="624" w:type="dxa"/>
            <w:tcMar>
              <w:top w:w="90" w:type="dxa"/>
              <w:left w:w="90" w:type="dxa"/>
              <w:bottom w:w="90" w:type="dxa"/>
              <w:right w:w="90" w:type="dxa"/>
            </w:tcMar>
          </w:tcPr>
          <w:p w14:paraId="34C7D15F" w14:textId="7E08FD0E" w:rsidR="69D00EF1" w:rsidRDefault="007E67C3" w:rsidP="69D00EF1">
            <w:pPr>
              <w:rPr>
                <w:rFonts w:ascii="Arial" w:hAnsi="Arial" w:cs="Arial"/>
                <w:sz w:val="20"/>
                <w:szCs w:val="20"/>
              </w:rPr>
            </w:pPr>
            <w:r>
              <w:rPr>
                <w:rFonts w:ascii="Arial" w:hAnsi="Arial" w:cs="Arial"/>
                <w:sz w:val="16"/>
                <w:szCs w:val="20"/>
              </w:rPr>
              <w:t>36</w:t>
            </w:r>
          </w:p>
        </w:tc>
        <w:tc>
          <w:tcPr>
            <w:tcW w:w="1247" w:type="dxa"/>
            <w:tcMar>
              <w:top w:w="90" w:type="dxa"/>
              <w:left w:w="90" w:type="dxa"/>
              <w:bottom w:w="90" w:type="dxa"/>
              <w:right w:w="90" w:type="dxa"/>
            </w:tcMar>
          </w:tcPr>
          <w:p w14:paraId="5DC6CC49" w14:textId="4208F298" w:rsidR="206FBD69" w:rsidRDefault="206FBD69"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Vulnerability, penetration testing and patch management</w:t>
            </w:r>
          </w:p>
        </w:tc>
        <w:tc>
          <w:tcPr>
            <w:tcW w:w="4082" w:type="dxa"/>
            <w:tcMar>
              <w:top w:w="90" w:type="dxa"/>
              <w:left w:w="90" w:type="dxa"/>
              <w:bottom w:w="90" w:type="dxa"/>
              <w:right w:w="90" w:type="dxa"/>
            </w:tcMar>
          </w:tcPr>
          <w:p w14:paraId="0FAA542F" w14:textId="092D61C8"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Does NHBRC currently have vulnerability and patch-management platforms? Please provide the products, licences, asset coverage and support arrangements.</w:t>
            </w:r>
          </w:p>
        </w:tc>
        <w:tc>
          <w:tcPr>
            <w:tcW w:w="4535" w:type="dxa"/>
            <w:tcMar>
              <w:top w:w="90" w:type="dxa"/>
              <w:left w:w="90" w:type="dxa"/>
              <w:bottom w:w="90" w:type="dxa"/>
              <w:right w:w="90" w:type="dxa"/>
            </w:tcMar>
          </w:tcPr>
          <w:p w14:paraId="44B62970" w14:textId="38665B47" w:rsidR="00A46E52" w:rsidRDefault="00826822">
            <w:r>
              <w:rPr>
                <w:rFonts w:ascii="Arial" w:hAnsi="Arial"/>
                <w:sz w:val="16"/>
              </w:rPr>
              <w:t>The current baseline identifies 19 servers and one Domain Controller</w:t>
            </w:r>
            <w:r w:rsidR="007222A2">
              <w:rPr>
                <w:rFonts w:ascii="Arial" w:hAnsi="Arial"/>
                <w:sz w:val="16"/>
              </w:rPr>
              <w:t xml:space="preserve">. </w:t>
            </w:r>
            <w:r>
              <w:rPr>
                <w:rFonts w:ascii="Arial" w:hAnsi="Arial"/>
                <w:sz w:val="16"/>
              </w:rPr>
              <w:t>Bidders must propose the relevant technology stack and managed service. (TOR 6.1-6.2; 7.4.6; 19)</w:t>
            </w:r>
          </w:p>
        </w:tc>
      </w:tr>
      <w:tr w:rsidR="00155257" w14:paraId="6EFD7F65" w14:textId="77777777" w:rsidTr="00F54D6E">
        <w:trPr>
          <w:trHeight w:val="300"/>
        </w:trPr>
        <w:tc>
          <w:tcPr>
            <w:tcW w:w="624" w:type="dxa"/>
            <w:tcMar>
              <w:top w:w="90" w:type="dxa"/>
              <w:left w:w="90" w:type="dxa"/>
              <w:bottom w:w="90" w:type="dxa"/>
              <w:right w:w="90" w:type="dxa"/>
            </w:tcMar>
          </w:tcPr>
          <w:p w14:paraId="2B7FD07C" w14:textId="0C9E8AC3" w:rsidR="00155257" w:rsidRDefault="00026505" w:rsidP="69D00EF1">
            <w:pPr>
              <w:rPr>
                <w:rFonts w:ascii="Arial" w:hAnsi="Arial" w:cs="Arial"/>
                <w:sz w:val="20"/>
                <w:szCs w:val="20"/>
              </w:rPr>
            </w:pPr>
            <w:r>
              <w:rPr>
                <w:rFonts w:ascii="Arial" w:hAnsi="Arial" w:cs="Arial"/>
                <w:sz w:val="16"/>
                <w:szCs w:val="20"/>
              </w:rPr>
              <w:t>37</w:t>
            </w:r>
          </w:p>
        </w:tc>
        <w:tc>
          <w:tcPr>
            <w:tcW w:w="1247" w:type="dxa"/>
            <w:tcMar>
              <w:top w:w="90" w:type="dxa"/>
              <w:left w:w="90" w:type="dxa"/>
              <w:bottom w:w="90" w:type="dxa"/>
              <w:right w:w="90" w:type="dxa"/>
            </w:tcMar>
          </w:tcPr>
          <w:p w14:paraId="616DEDA7" w14:textId="77777777" w:rsidR="00155257" w:rsidRDefault="00155257"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5142F9E2" w14:textId="02874F8C" w:rsidR="00155257" w:rsidRPr="69D00EF1" w:rsidRDefault="00517078" w:rsidP="69D00EF1">
            <w:pPr>
              <w:rPr>
                <w:rFonts w:ascii="Aptos" w:eastAsia="Aptos" w:hAnsi="Aptos" w:cs="Aptos"/>
                <w:color w:val="000000" w:themeColor="text1"/>
                <w:sz w:val="20"/>
                <w:szCs w:val="20"/>
              </w:rPr>
            </w:pPr>
            <w:r w:rsidRPr="00517078">
              <w:rPr>
                <w:rFonts w:ascii="Arial" w:eastAsia="Aptos" w:hAnsi="Arial" w:cs="Aptos"/>
                <w:color w:val="000000" w:themeColor="text1"/>
                <w:sz w:val="16"/>
                <w:szCs w:val="20"/>
              </w:rPr>
              <w:t>Please confirm whether NHBRC requires a fully managed, continuous Vulnerability Management service—including a dedicated platform, regular scanning, risk-based prioritisation, remediation tracking, reporting and verification—or only independent, ad hoc vulnerability assessments, including the quarterly authenticated assessments specified in the tender.</w:t>
            </w:r>
          </w:p>
        </w:tc>
        <w:tc>
          <w:tcPr>
            <w:tcW w:w="4535" w:type="dxa"/>
            <w:tcMar>
              <w:top w:w="90" w:type="dxa"/>
              <w:left w:w="90" w:type="dxa"/>
              <w:bottom w:w="90" w:type="dxa"/>
              <w:right w:w="90" w:type="dxa"/>
            </w:tcMar>
          </w:tcPr>
          <w:p w14:paraId="1B60820F" w14:textId="77777777" w:rsidR="00A46E52" w:rsidRDefault="00826822">
            <w:r>
              <w:rPr>
                <w:rFonts w:ascii="Arial" w:hAnsi="Arial"/>
                <w:sz w:val="16"/>
              </w:rPr>
              <w:t>NHBRC requires a continuous managed vulnerability and patch-management process, including regular scanning across all systems, risk-based prioritisation and remediation, patching, reporting and verification. In addition, quarterly authenticated vulnerability assessments and annual independent penetration testing are mandatory minimum controls. (TOR 7.4.4.3; 7.4.6)</w:t>
            </w:r>
          </w:p>
        </w:tc>
      </w:tr>
      <w:tr w:rsidR="69D00EF1" w14:paraId="43FD6C44" w14:textId="77777777" w:rsidTr="00F54D6E">
        <w:trPr>
          <w:trHeight w:val="300"/>
        </w:trPr>
        <w:tc>
          <w:tcPr>
            <w:tcW w:w="624" w:type="dxa"/>
            <w:tcMar>
              <w:top w:w="90" w:type="dxa"/>
              <w:left w:w="90" w:type="dxa"/>
              <w:bottom w:w="90" w:type="dxa"/>
              <w:right w:w="90" w:type="dxa"/>
            </w:tcMar>
          </w:tcPr>
          <w:p w14:paraId="70419CA0" w14:textId="1FAC0916" w:rsidR="69D00EF1" w:rsidRDefault="00026505" w:rsidP="69D00EF1">
            <w:pPr>
              <w:rPr>
                <w:rFonts w:ascii="Arial" w:hAnsi="Arial" w:cs="Arial"/>
                <w:sz w:val="20"/>
                <w:szCs w:val="20"/>
              </w:rPr>
            </w:pPr>
            <w:r>
              <w:rPr>
                <w:rFonts w:ascii="Arial" w:hAnsi="Arial" w:cs="Arial"/>
                <w:sz w:val="16"/>
                <w:szCs w:val="20"/>
              </w:rPr>
              <w:t>38</w:t>
            </w:r>
          </w:p>
        </w:tc>
        <w:tc>
          <w:tcPr>
            <w:tcW w:w="1247" w:type="dxa"/>
            <w:tcMar>
              <w:top w:w="90" w:type="dxa"/>
              <w:left w:w="90" w:type="dxa"/>
              <w:bottom w:w="90" w:type="dxa"/>
              <w:right w:w="90" w:type="dxa"/>
            </w:tcMar>
          </w:tcPr>
          <w:p w14:paraId="1D2B0285" w14:textId="74A9FCDE"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1A21F0D5" w14:textId="753A81AF"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provide the number and types of assets requiring authenticated vulnerability scanning, including internal, internet-facing, cloud, network and database assets.</w:t>
            </w:r>
          </w:p>
        </w:tc>
        <w:tc>
          <w:tcPr>
            <w:tcW w:w="4535" w:type="dxa"/>
            <w:tcMar>
              <w:top w:w="90" w:type="dxa"/>
              <w:left w:w="90" w:type="dxa"/>
              <w:bottom w:w="90" w:type="dxa"/>
              <w:right w:w="90" w:type="dxa"/>
            </w:tcMar>
          </w:tcPr>
          <w:p w14:paraId="606A4127" w14:textId="4142AF30" w:rsidR="00A46E52" w:rsidRDefault="00826822">
            <w:r>
              <w:rPr>
                <w:rFonts w:ascii="Arial" w:hAnsi="Arial"/>
                <w:sz w:val="16"/>
              </w:rPr>
              <w:t xml:space="preserve">The current server baseline is 19 servers, and the managed scope includes </w:t>
            </w:r>
            <w:proofErr w:type="gramStart"/>
            <w:r>
              <w:rPr>
                <w:rFonts w:ascii="Arial" w:hAnsi="Arial"/>
                <w:sz w:val="16"/>
              </w:rPr>
              <w:t>on-premises</w:t>
            </w:r>
            <w:proofErr w:type="gramEnd"/>
            <w:r>
              <w:rPr>
                <w:rFonts w:ascii="Arial" w:hAnsi="Arial"/>
                <w:sz w:val="16"/>
              </w:rPr>
              <w:t>, hosted, cloud, network, application and supporting infrastructure components. Bidders must validate the full authenticated-scanning inventory during assessment and discovery. (TOR 6.1-6.2; 7.4.6; 11.2)</w:t>
            </w:r>
          </w:p>
        </w:tc>
      </w:tr>
      <w:tr w:rsidR="69D00EF1" w14:paraId="4574FCDD" w14:textId="77777777" w:rsidTr="00F54D6E">
        <w:trPr>
          <w:trHeight w:val="300"/>
        </w:trPr>
        <w:tc>
          <w:tcPr>
            <w:tcW w:w="624" w:type="dxa"/>
            <w:tcMar>
              <w:top w:w="90" w:type="dxa"/>
              <w:left w:w="90" w:type="dxa"/>
              <w:bottom w:w="90" w:type="dxa"/>
              <w:right w:w="90" w:type="dxa"/>
            </w:tcMar>
          </w:tcPr>
          <w:p w14:paraId="48F0CCBD" w14:textId="6BBC3082" w:rsidR="69D00EF1" w:rsidRDefault="00026505" w:rsidP="69D00EF1">
            <w:pPr>
              <w:rPr>
                <w:rFonts w:ascii="Arial" w:hAnsi="Arial" w:cs="Arial"/>
                <w:sz w:val="20"/>
                <w:szCs w:val="20"/>
              </w:rPr>
            </w:pPr>
            <w:r>
              <w:rPr>
                <w:rFonts w:ascii="Arial" w:hAnsi="Arial" w:cs="Arial"/>
                <w:sz w:val="16"/>
                <w:szCs w:val="20"/>
              </w:rPr>
              <w:t>39</w:t>
            </w:r>
          </w:p>
        </w:tc>
        <w:tc>
          <w:tcPr>
            <w:tcW w:w="1247" w:type="dxa"/>
            <w:tcMar>
              <w:top w:w="90" w:type="dxa"/>
              <w:left w:w="90" w:type="dxa"/>
              <w:bottom w:w="90" w:type="dxa"/>
              <w:right w:w="90" w:type="dxa"/>
            </w:tcMar>
          </w:tcPr>
          <w:p w14:paraId="15FA884D" w14:textId="1AEE6E8F"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5916D51F" w14:textId="1771F55F"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Must quarterly authenticated assessments be performed by the managed-service team, an independent party, or both?</w:t>
            </w:r>
          </w:p>
        </w:tc>
        <w:tc>
          <w:tcPr>
            <w:tcW w:w="4535" w:type="dxa"/>
            <w:tcMar>
              <w:top w:w="90" w:type="dxa"/>
              <w:left w:w="90" w:type="dxa"/>
              <w:bottom w:w="90" w:type="dxa"/>
              <w:right w:w="90" w:type="dxa"/>
            </w:tcMar>
          </w:tcPr>
          <w:p w14:paraId="67526ED9" w14:textId="3647A1B9" w:rsidR="00A46E52" w:rsidRDefault="00826822">
            <w:r>
              <w:rPr>
                <w:rFonts w:ascii="Arial" w:hAnsi="Arial"/>
                <w:sz w:val="16"/>
              </w:rPr>
              <w:t xml:space="preserve">Quarterly authenticated vulnerability assessments are a mandatory control to be implemented and maintained by the Service Provider. Annual penetration testing must be independent. </w:t>
            </w:r>
          </w:p>
        </w:tc>
      </w:tr>
      <w:tr w:rsidR="69D00EF1" w14:paraId="2CE1DA5A" w14:textId="77777777" w:rsidTr="00F54D6E">
        <w:trPr>
          <w:trHeight w:val="300"/>
        </w:trPr>
        <w:tc>
          <w:tcPr>
            <w:tcW w:w="624" w:type="dxa"/>
            <w:tcMar>
              <w:top w:w="90" w:type="dxa"/>
              <w:left w:w="90" w:type="dxa"/>
              <w:bottom w:w="90" w:type="dxa"/>
              <w:right w:w="90" w:type="dxa"/>
            </w:tcMar>
          </w:tcPr>
          <w:p w14:paraId="2652CE24" w14:textId="1B6F6E8A" w:rsidR="69D00EF1" w:rsidRDefault="00026505" w:rsidP="69D00EF1">
            <w:pPr>
              <w:rPr>
                <w:rFonts w:ascii="Arial" w:hAnsi="Arial" w:cs="Arial"/>
                <w:sz w:val="20"/>
                <w:szCs w:val="20"/>
              </w:rPr>
            </w:pPr>
            <w:r>
              <w:rPr>
                <w:rFonts w:ascii="Arial" w:hAnsi="Arial" w:cs="Arial"/>
                <w:sz w:val="16"/>
                <w:szCs w:val="20"/>
              </w:rPr>
              <w:lastRenderedPageBreak/>
              <w:t>40</w:t>
            </w:r>
          </w:p>
        </w:tc>
        <w:tc>
          <w:tcPr>
            <w:tcW w:w="1247" w:type="dxa"/>
            <w:tcMar>
              <w:top w:w="90" w:type="dxa"/>
              <w:left w:w="90" w:type="dxa"/>
              <w:bottom w:w="90" w:type="dxa"/>
              <w:right w:w="90" w:type="dxa"/>
            </w:tcMar>
          </w:tcPr>
          <w:p w14:paraId="1278AA61" w14:textId="350CC3C7"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7A8C4EF" w14:textId="2CE7F637"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confirm that the successful bidder is responsible for the actual testing, deployment and verification of security patches—not only vulnerability identification and reporting.</w:t>
            </w:r>
          </w:p>
        </w:tc>
        <w:tc>
          <w:tcPr>
            <w:tcW w:w="4535" w:type="dxa"/>
            <w:tcMar>
              <w:top w:w="90" w:type="dxa"/>
              <w:left w:w="90" w:type="dxa"/>
              <w:bottom w:w="90" w:type="dxa"/>
              <w:right w:w="90" w:type="dxa"/>
            </w:tcMar>
          </w:tcPr>
          <w:p w14:paraId="60737A6F" w14:textId="77777777" w:rsidR="00A46E52" w:rsidRDefault="00826822">
            <w:r>
              <w:rPr>
                <w:rFonts w:ascii="Arial" w:hAnsi="Arial"/>
                <w:sz w:val="16"/>
              </w:rPr>
              <w:t>Yes. The Service Provider is responsible for operating-system lifecycle management, automated patching, timely application of security patches and updates, remediation and reporting. This extends beyond vulnerability identification and includes implementation and verification of patching within the managed environment. (TOR 7.2.3.1.4; 7.2.4.2.4; 7.4.6)</w:t>
            </w:r>
          </w:p>
        </w:tc>
      </w:tr>
      <w:tr w:rsidR="69D00EF1" w14:paraId="09B690C5" w14:textId="77777777" w:rsidTr="00F54D6E">
        <w:trPr>
          <w:trHeight w:val="300"/>
        </w:trPr>
        <w:tc>
          <w:tcPr>
            <w:tcW w:w="624" w:type="dxa"/>
            <w:tcMar>
              <w:top w:w="90" w:type="dxa"/>
              <w:left w:w="90" w:type="dxa"/>
              <w:bottom w:w="90" w:type="dxa"/>
              <w:right w:w="90" w:type="dxa"/>
            </w:tcMar>
          </w:tcPr>
          <w:p w14:paraId="4C3C8058" w14:textId="4D99D39B" w:rsidR="69D00EF1" w:rsidRDefault="00026505" w:rsidP="69D00EF1">
            <w:pPr>
              <w:rPr>
                <w:rFonts w:ascii="Arial" w:hAnsi="Arial" w:cs="Arial"/>
                <w:sz w:val="20"/>
                <w:szCs w:val="20"/>
              </w:rPr>
            </w:pPr>
            <w:r>
              <w:rPr>
                <w:rFonts w:ascii="Arial" w:hAnsi="Arial" w:cs="Arial"/>
                <w:sz w:val="16"/>
                <w:szCs w:val="20"/>
              </w:rPr>
              <w:t>41</w:t>
            </w:r>
          </w:p>
        </w:tc>
        <w:tc>
          <w:tcPr>
            <w:tcW w:w="1247" w:type="dxa"/>
            <w:tcMar>
              <w:top w:w="90" w:type="dxa"/>
              <w:left w:w="90" w:type="dxa"/>
              <w:bottom w:w="90" w:type="dxa"/>
              <w:right w:w="90" w:type="dxa"/>
            </w:tcMar>
          </w:tcPr>
          <w:p w14:paraId="0C45587A" w14:textId="07A79BA7"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67AFEA98" w14:textId="00383B5C"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From which event is the 14-day critical-patch timeline measured: OEM release, NHBRC approval, applicability confirmation or successful test completion?</w:t>
            </w:r>
          </w:p>
        </w:tc>
        <w:tc>
          <w:tcPr>
            <w:tcW w:w="4535" w:type="dxa"/>
            <w:tcMar>
              <w:top w:w="90" w:type="dxa"/>
              <w:left w:w="90" w:type="dxa"/>
              <w:bottom w:w="90" w:type="dxa"/>
              <w:right w:w="90" w:type="dxa"/>
            </w:tcMar>
          </w:tcPr>
          <w:p w14:paraId="492CDAFA" w14:textId="06C4AA83" w:rsidR="00A46E52" w:rsidRDefault="00826822">
            <w:r>
              <w:rPr>
                <w:rFonts w:ascii="Arial" w:hAnsi="Arial"/>
                <w:sz w:val="16"/>
              </w:rPr>
              <w:t>The TOR states that critical patch deployment must be completed within 14 days</w:t>
            </w:r>
            <w:r w:rsidR="006C20F9">
              <w:rPr>
                <w:rFonts w:ascii="Arial" w:hAnsi="Arial"/>
                <w:sz w:val="16"/>
              </w:rPr>
              <w:t xml:space="preserve">, </w:t>
            </w:r>
            <w:r>
              <w:rPr>
                <w:rFonts w:ascii="Arial" w:hAnsi="Arial"/>
                <w:sz w:val="16"/>
              </w:rPr>
              <w:t>The measurement point must therefore be agreed in the SLA and patch-management procedure. A prudent bidder response should clearly state its proposed trigger and any testing, approval or exception dependencies. (TOR 7.6.7.4.2; 7.4.6)</w:t>
            </w:r>
          </w:p>
        </w:tc>
      </w:tr>
      <w:tr w:rsidR="69D00EF1" w14:paraId="2F0DC865" w14:textId="77777777" w:rsidTr="00F54D6E">
        <w:trPr>
          <w:trHeight w:val="300"/>
        </w:trPr>
        <w:tc>
          <w:tcPr>
            <w:tcW w:w="624" w:type="dxa"/>
            <w:tcMar>
              <w:top w:w="90" w:type="dxa"/>
              <w:left w:w="90" w:type="dxa"/>
              <w:bottom w:w="90" w:type="dxa"/>
              <w:right w:w="90" w:type="dxa"/>
            </w:tcMar>
          </w:tcPr>
          <w:p w14:paraId="1E80FD48" w14:textId="413729FF" w:rsidR="69D00EF1" w:rsidRDefault="00026505" w:rsidP="69D00EF1">
            <w:pPr>
              <w:rPr>
                <w:rFonts w:ascii="Arial" w:hAnsi="Arial" w:cs="Arial"/>
                <w:sz w:val="20"/>
                <w:szCs w:val="20"/>
              </w:rPr>
            </w:pPr>
            <w:r>
              <w:rPr>
                <w:rFonts w:ascii="Arial" w:hAnsi="Arial" w:cs="Arial"/>
                <w:sz w:val="16"/>
                <w:szCs w:val="20"/>
              </w:rPr>
              <w:t>42</w:t>
            </w:r>
          </w:p>
        </w:tc>
        <w:tc>
          <w:tcPr>
            <w:tcW w:w="1247" w:type="dxa"/>
            <w:tcMar>
              <w:top w:w="90" w:type="dxa"/>
              <w:left w:w="90" w:type="dxa"/>
              <w:bottom w:w="90" w:type="dxa"/>
              <w:right w:w="90" w:type="dxa"/>
            </w:tcMar>
          </w:tcPr>
          <w:p w14:paraId="26EEDC4B" w14:textId="609448BA"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D2241C6" w14:textId="087538C9"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provide NHBRC’s vulnerability severity methodology and confirm whether the 30-day target applies to all high-risk vulnerabilities or only exploitable vulnerabilities affecting in-scope assets.</w:t>
            </w:r>
          </w:p>
        </w:tc>
        <w:tc>
          <w:tcPr>
            <w:tcW w:w="4535" w:type="dxa"/>
            <w:tcMar>
              <w:top w:w="90" w:type="dxa"/>
              <w:left w:w="90" w:type="dxa"/>
              <w:bottom w:w="90" w:type="dxa"/>
              <w:right w:w="90" w:type="dxa"/>
            </w:tcMar>
          </w:tcPr>
          <w:p w14:paraId="58D97CD0" w14:textId="41CE1052" w:rsidR="00A46E52" w:rsidRDefault="00826822">
            <w:r>
              <w:rPr>
                <w:rFonts w:ascii="Arial" w:hAnsi="Arial"/>
                <w:sz w:val="16"/>
              </w:rPr>
              <w:t>The TOR requires risk-based prioritisation and sets a high-risk vulnerability remediation target of 30 days. The bidder should apply a recognised risk-based method and align it with NHBRC policy during transition. (TOR 7.4.4.3.3; 7.4.6.1.2; 7.6.7.4.3)</w:t>
            </w:r>
          </w:p>
        </w:tc>
      </w:tr>
      <w:tr w:rsidR="69D00EF1" w14:paraId="01CA28B9" w14:textId="77777777" w:rsidTr="00F54D6E">
        <w:trPr>
          <w:trHeight w:val="300"/>
        </w:trPr>
        <w:tc>
          <w:tcPr>
            <w:tcW w:w="624" w:type="dxa"/>
            <w:tcMar>
              <w:top w:w="90" w:type="dxa"/>
              <w:left w:w="90" w:type="dxa"/>
              <w:bottom w:w="90" w:type="dxa"/>
              <w:right w:w="90" w:type="dxa"/>
            </w:tcMar>
          </w:tcPr>
          <w:p w14:paraId="7C3EAB5B" w14:textId="17B9A2D0" w:rsidR="69D00EF1" w:rsidRDefault="00026505" w:rsidP="69D00EF1">
            <w:pPr>
              <w:rPr>
                <w:rFonts w:ascii="Arial" w:hAnsi="Arial" w:cs="Arial"/>
                <w:sz w:val="20"/>
                <w:szCs w:val="20"/>
              </w:rPr>
            </w:pPr>
            <w:r>
              <w:rPr>
                <w:rFonts w:ascii="Arial" w:hAnsi="Arial" w:cs="Arial"/>
                <w:sz w:val="16"/>
                <w:szCs w:val="20"/>
              </w:rPr>
              <w:t>43</w:t>
            </w:r>
          </w:p>
        </w:tc>
        <w:tc>
          <w:tcPr>
            <w:tcW w:w="1247" w:type="dxa"/>
            <w:tcMar>
              <w:top w:w="90" w:type="dxa"/>
              <w:left w:w="90" w:type="dxa"/>
              <w:bottom w:w="90" w:type="dxa"/>
              <w:right w:w="90" w:type="dxa"/>
            </w:tcMar>
          </w:tcPr>
          <w:p w14:paraId="291CE4CD" w14:textId="0B7D469E"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3EFC76A6" w14:textId="36486C83"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confirm the process for risk acceptance, extensions, compensating controls and exclusions where remediation cannot be completed within the prescribed timeline.</w:t>
            </w:r>
          </w:p>
        </w:tc>
        <w:tc>
          <w:tcPr>
            <w:tcW w:w="4535" w:type="dxa"/>
            <w:tcMar>
              <w:top w:w="90" w:type="dxa"/>
              <w:left w:w="90" w:type="dxa"/>
              <w:bottom w:w="90" w:type="dxa"/>
              <w:right w:w="90" w:type="dxa"/>
            </w:tcMar>
          </w:tcPr>
          <w:p w14:paraId="2A962928" w14:textId="1955047D" w:rsidR="00A46E52" w:rsidRDefault="00826822">
            <w:r>
              <w:rPr>
                <w:rFonts w:ascii="Arial" w:hAnsi="Arial"/>
                <w:sz w:val="16"/>
              </w:rPr>
              <w:t>These cases must be handled through documented service management, risk and issue management, change governance, audit trails and NHBRC approval. The bidder should propose the process in its governance and quality-assurance methodology. (TOR 7.7; 16.2.4; 17.3)</w:t>
            </w:r>
          </w:p>
        </w:tc>
      </w:tr>
      <w:tr w:rsidR="69D00EF1" w14:paraId="64B969DC" w14:textId="77777777" w:rsidTr="00F54D6E">
        <w:trPr>
          <w:trHeight w:val="300"/>
        </w:trPr>
        <w:tc>
          <w:tcPr>
            <w:tcW w:w="624" w:type="dxa"/>
            <w:tcMar>
              <w:top w:w="90" w:type="dxa"/>
              <w:left w:w="90" w:type="dxa"/>
              <w:bottom w:w="90" w:type="dxa"/>
              <w:right w:w="90" w:type="dxa"/>
            </w:tcMar>
          </w:tcPr>
          <w:p w14:paraId="22DB33C4" w14:textId="07E2CCC6" w:rsidR="69D00EF1" w:rsidRDefault="00026505" w:rsidP="69D00EF1">
            <w:pPr>
              <w:rPr>
                <w:rFonts w:ascii="Arial" w:hAnsi="Arial" w:cs="Arial"/>
                <w:sz w:val="20"/>
                <w:szCs w:val="20"/>
              </w:rPr>
            </w:pPr>
            <w:r>
              <w:rPr>
                <w:rFonts w:ascii="Arial" w:hAnsi="Arial" w:cs="Arial"/>
                <w:sz w:val="16"/>
                <w:szCs w:val="20"/>
              </w:rPr>
              <w:t>44</w:t>
            </w:r>
          </w:p>
        </w:tc>
        <w:tc>
          <w:tcPr>
            <w:tcW w:w="1247" w:type="dxa"/>
            <w:tcMar>
              <w:top w:w="90" w:type="dxa"/>
              <w:left w:w="90" w:type="dxa"/>
              <w:bottom w:w="90" w:type="dxa"/>
              <w:right w:w="90" w:type="dxa"/>
            </w:tcMar>
          </w:tcPr>
          <w:p w14:paraId="4F252D35" w14:textId="3DB1FEC8"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4C1D1F17" w14:textId="05F821D6" w:rsidR="69D00EF1" w:rsidRDefault="69D00EF1" w:rsidP="69D00EF1">
            <w:pPr>
              <w:rPr>
                <w:rFonts w:ascii="Aptos" w:eastAsia="Aptos" w:hAnsi="Aptos" w:cs="Aptos"/>
                <w:color w:val="000000" w:themeColor="text1"/>
                <w:sz w:val="20"/>
                <w:szCs w:val="20"/>
              </w:rPr>
            </w:pPr>
            <w:r w:rsidRPr="69D00EF1">
              <w:rPr>
                <w:rFonts w:ascii="Arial" w:eastAsia="Aptos" w:hAnsi="Arial" w:cs="Aptos"/>
                <w:color w:val="000000" w:themeColor="text1"/>
                <w:sz w:val="16"/>
                <w:szCs w:val="20"/>
              </w:rPr>
              <w:t>Please define the annual independent penetration-testing scope, including external, internal, web application, API, wireless, cloud and social-engineering testing.</w:t>
            </w:r>
          </w:p>
        </w:tc>
        <w:tc>
          <w:tcPr>
            <w:tcW w:w="4535" w:type="dxa"/>
            <w:tcMar>
              <w:top w:w="90" w:type="dxa"/>
              <w:left w:w="90" w:type="dxa"/>
              <w:bottom w:w="90" w:type="dxa"/>
              <w:right w:w="90" w:type="dxa"/>
            </w:tcMar>
          </w:tcPr>
          <w:p w14:paraId="5DB5A518" w14:textId="6D99FC0F" w:rsidR="00A46E52" w:rsidRDefault="00826822">
            <w:r>
              <w:rPr>
                <w:rFonts w:ascii="Arial" w:hAnsi="Arial"/>
                <w:sz w:val="16"/>
              </w:rPr>
              <w:t xml:space="preserve">Annual independent penetration testing is required, </w:t>
            </w:r>
            <w:proofErr w:type="gramStart"/>
            <w:r>
              <w:rPr>
                <w:rFonts w:ascii="Arial" w:hAnsi="Arial"/>
                <w:sz w:val="16"/>
              </w:rPr>
              <w:t>The</w:t>
            </w:r>
            <w:proofErr w:type="gramEnd"/>
            <w:r>
              <w:rPr>
                <w:rFonts w:ascii="Arial" w:hAnsi="Arial"/>
                <w:sz w:val="16"/>
              </w:rPr>
              <w:t xml:space="preserve"> final scope must be risk-based and agreed with NHBRC, covering applicable in-scope infrastructure, applications and cloud/network services. (TOR 7.4.4.3.2; 7.4.1; 7.4.6)</w:t>
            </w:r>
          </w:p>
        </w:tc>
      </w:tr>
      <w:tr w:rsidR="69D00EF1" w14:paraId="674B3257" w14:textId="77777777" w:rsidTr="00F54D6E">
        <w:trPr>
          <w:trHeight w:val="300"/>
        </w:trPr>
        <w:tc>
          <w:tcPr>
            <w:tcW w:w="624" w:type="dxa"/>
            <w:tcMar>
              <w:top w:w="90" w:type="dxa"/>
              <w:left w:w="90" w:type="dxa"/>
              <w:bottom w:w="90" w:type="dxa"/>
              <w:right w:w="90" w:type="dxa"/>
            </w:tcMar>
          </w:tcPr>
          <w:p w14:paraId="32F19F9B" w14:textId="1B59FEA9" w:rsidR="69D00EF1" w:rsidRDefault="00026505" w:rsidP="69D00EF1">
            <w:pPr>
              <w:rPr>
                <w:rFonts w:ascii="Arial" w:hAnsi="Arial" w:cs="Arial"/>
                <w:sz w:val="20"/>
                <w:szCs w:val="20"/>
              </w:rPr>
            </w:pPr>
            <w:r>
              <w:rPr>
                <w:rFonts w:ascii="Arial" w:hAnsi="Arial" w:cs="Arial"/>
                <w:sz w:val="16"/>
                <w:szCs w:val="20"/>
              </w:rPr>
              <w:t>45</w:t>
            </w:r>
          </w:p>
        </w:tc>
        <w:tc>
          <w:tcPr>
            <w:tcW w:w="1247" w:type="dxa"/>
            <w:tcMar>
              <w:top w:w="90" w:type="dxa"/>
              <w:left w:w="90" w:type="dxa"/>
              <w:bottom w:w="90" w:type="dxa"/>
              <w:right w:w="90" w:type="dxa"/>
            </w:tcMar>
          </w:tcPr>
          <w:p w14:paraId="4F59B09E" w14:textId="335AD05C" w:rsidR="69D00EF1" w:rsidRDefault="69D00EF1" w:rsidP="69D00EF1">
            <w:pPr>
              <w:jc w:val="center"/>
              <w:rPr>
                <w:rFonts w:ascii="Arial" w:hAnsi="Arial" w:cs="Arial"/>
                <w:sz w:val="20"/>
                <w:szCs w:val="20"/>
              </w:rPr>
            </w:pPr>
            <w:r>
              <w:rPr>
                <w:rFonts w:ascii="Arial" w:hAnsi="Arial"/>
                <w:b/>
                <w:sz w:val="16"/>
              </w:rPr>
              <w:t>TOR / Annexures</w:t>
            </w:r>
          </w:p>
        </w:tc>
        <w:tc>
          <w:tcPr>
            <w:tcW w:w="4082" w:type="dxa"/>
            <w:tcMar>
              <w:top w:w="90" w:type="dxa"/>
              <w:left w:w="90" w:type="dxa"/>
              <w:bottom w:w="90" w:type="dxa"/>
              <w:right w:w="90" w:type="dxa"/>
            </w:tcMar>
          </w:tcPr>
          <w:p w14:paraId="7320D038" w14:textId="0E8B91DA" w:rsidR="69D00EF1" w:rsidRDefault="776EA2E0" w:rsidP="69D00EF1">
            <w:r w:rsidRPr="18B4C887">
              <w:rPr>
                <w:rFonts w:ascii="Arial" w:eastAsia="Aptos" w:hAnsi="Arial" w:cs="Aptos"/>
                <w:sz w:val="16"/>
                <w:szCs w:val="20"/>
              </w:rPr>
              <w:t>Please confirm whether NHBRC requires a fully managed, continuous Vulnerability Management service—including a dedicated platform, regular scanning, risk-based prioritisation, remediation tracking, reporting and verification—or only independent, ad hoc vulnerability assessments, including the quarterly authenticated assessments specified in the tender.</w:t>
            </w:r>
          </w:p>
        </w:tc>
        <w:tc>
          <w:tcPr>
            <w:tcW w:w="4535" w:type="dxa"/>
            <w:tcMar>
              <w:top w:w="90" w:type="dxa"/>
              <w:left w:w="90" w:type="dxa"/>
              <w:bottom w:w="90" w:type="dxa"/>
              <w:right w:w="90" w:type="dxa"/>
            </w:tcMar>
          </w:tcPr>
          <w:p w14:paraId="1C8B6116" w14:textId="77777777" w:rsidR="00A46E52" w:rsidRDefault="00826822">
            <w:r>
              <w:rPr>
                <w:rFonts w:ascii="Arial" w:hAnsi="Arial"/>
                <w:sz w:val="16"/>
              </w:rPr>
              <w:t>NHBRC requires a continuous managed vulnerability and patch-management process, including regular scanning across all systems, risk-based prioritisation and remediation, patching, reporting and verification. In addition, quarterly authenticated vulnerability assessments and annual independent penetration testing are mandatory minimum controls. (TOR 7.4.4.3; 7.4.6)</w:t>
            </w:r>
          </w:p>
        </w:tc>
      </w:tr>
    </w:tbl>
    <w:p w14:paraId="3E6B4D30" w14:textId="77777777" w:rsidR="006D0003" w:rsidRPr="00E51CE8" w:rsidRDefault="006D0003" w:rsidP="009F457C"/>
    <w:p w14:paraId="2A185AE4" w14:textId="435486F0" w:rsidR="00A46E52" w:rsidRDefault="00A46E52">
      <w:pPr>
        <w:spacing w:before="120"/>
      </w:pPr>
    </w:p>
    <w:sectPr w:rsidR="00A46E52" w:rsidSect="009F457C">
      <w:headerReference w:type="even" r:id="rId10"/>
      <w:headerReference w:type="default" r:id="rId11"/>
      <w:footerReference w:type="even" r:id="rId12"/>
      <w:footerReference w:type="default" r:id="rId13"/>
      <w:headerReference w:type="first" r:id="rId14"/>
      <w:footerReference w:type="first" r:id="rId15"/>
      <w:pgSz w:w="16840" w:h="11907" w:orient="landscape" w:code="9"/>
      <w:pgMar w:top="850" w:right="737" w:bottom="850"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93A24" w14:textId="77777777" w:rsidR="00826822" w:rsidRDefault="00826822">
      <w:r>
        <w:separator/>
      </w:r>
    </w:p>
  </w:endnote>
  <w:endnote w:type="continuationSeparator" w:id="0">
    <w:p w14:paraId="734FAA51" w14:textId="77777777" w:rsidR="00826822" w:rsidRDefault="00826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B724" w14:textId="77777777" w:rsidR="00772C46" w:rsidRDefault="00772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B924" w14:textId="0E9BCF08" w:rsidR="00F54D6E" w:rsidRPr="00B446B6" w:rsidRDefault="00F54D6E" w:rsidP="002455B5">
    <w:pPr>
      <w:pStyle w:val="Footer"/>
      <w:rPr>
        <w:rFonts w:ascii="Verdana" w:hAnsi="Verdana"/>
        <w:sz w:val="18"/>
        <w:szCs w:val="18"/>
      </w:rPr>
    </w:pPr>
    <w:r w:rsidRPr="00B446B6">
      <w:rPr>
        <w:rFonts w:ascii="Verdana" w:hAnsi="Verdana"/>
        <w:sz w:val="18"/>
        <w:szCs w:val="18"/>
      </w:rPr>
      <w:tab/>
      <w:t xml:space="preserve">Page </w:t>
    </w:r>
    <w:r w:rsidRPr="00B446B6">
      <w:rPr>
        <w:rFonts w:ascii="Verdana" w:hAnsi="Verdana"/>
        <w:sz w:val="18"/>
        <w:szCs w:val="18"/>
      </w:rPr>
      <w:fldChar w:fldCharType="begin"/>
    </w:r>
    <w:r w:rsidRPr="00B446B6">
      <w:rPr>
        <w:rFonts w:ascii="Verdana" w:hAnsi="Verdana"/>
        <w:sz w:val="18"/>
        <w:szCs w:val="18"/>
      </w:rPr>
      <w:instrText xml:space="preserve"> PAGE </w:instrText>
    </w:r>
    <w:r w:rsidRPr="00B446B6">
      <w:rPr>
        <w:rFonts w:ascii="Verdana" w:hAnsi="Verdana"/>
        <w:sz w:val="18"/>
        <w:szCs w:val="18"/>
      </w:rPr>
      <w:fldChar w:fldCharType="separate"/>
    </w:r>
    <w:r>
      <w:rPr>
        <w:rFonts w:ascii="Verdana" w:hAnsi="Verdana"/>
        <w:noProof/>
        <w:sz w:val="18"/>
        <w:szCs w:val="18"/>
      </w:rPr>
      <w:t>1</w:t>
    </w:r>
    <w:r w:rsidRPr="00B446B6">
      <w:rPr>
        <w:rFonts w:ascii="Verdana" w:hAnsi="Verdana"/>
        <w:sz w:val="18"/>
        <w:szCs w:val="18"/>
      </w:rPr>
      <w:fldChar w:fldCharType="end"/>
    </w:r>
    <w:r w:rsidRPr="00B446B6">
      <w:rPr>
        <w:rFonts w:ascii="Verdana" w:hAnsi="Verdana"/>
        <w:sz w:val="18"/>
        <w:szCs w:val="18"/>
      </w:rPr>
      <w:t xml:space="preserve"> of </w:t>
    </w:r>
    <w:r w:rsidRPr="00B446B6">
      <w:rPr>
        <w:rFonts w:ascii="Verdana" w:hAnsi="Verdana"/>
        <w:sz w:val="18"/>
        <w:szCs w:val="18"/>
      </w:rPr>
      <w:fldChar w:fldCharType="begin"/>
    </w:r>
    <w:r w:rsidRPr="00B446B6">
      <w:rPr>
        <w:rFonts w:ascii="Verdana" w:hAnsi="Verdana"/>
        <w:sz w:val="18"/>
        <w:szCs w:val="18"/>
      </w:rPr>
      <w:instrText xml:space="preserve"> NUMPAGES </w:instrText>
    </w:r>
    <w:r w:rsidRPr="00B446B6">
      <w:rPr>
        <w:rFonts w:ascii="Verdana" w:hAnsi="Verdana"/>
        <w:sz w:val="18"/>
        <w:szCs w:val="18"/>
      </w:rPr>
      <w:fldChar w:fldCharType="separate"/>
    </w:r>
    <w:r>
      <w:rPr>
        <w:rFonts w:ascii="Verdana" w:hAnsi="Verdana"/>
        <w:noProof/>
        <w:sz w:val="18"/>
        <w:szCs w:val="18"/>
      </w:rPr>
      <w:t>6</w:t>
    </w:r>
    <w:r w:rsidRPr="00B446B6">
      <w:rPr>
        <w:rFonts w:ascii="Verdana" w:hAnsi="Verdana"/>
        <w:sz w:val="18"/>
        <w:szCs w:val="18"/>
      </w:rPr>
      <w:fldChar w:fldCharType="end"/>
    </w:r>
    <w:r w:rsidRPr="00B446B6">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Pr="00B446B6">
      <w:rPr>
        <w:rFonts w:ascii="Verdana" w:hAnsi="Verdana"/>
        <w:sz w:val="18"/>
        <w:szCs w:val="18"/>
      </w:rPr>
      <w:fldChar w:fldCharType="begin"/>
    </w:r>
    <w:r w:rsidRPr="00B446B6">
      <w:rPr>
        <w:rFonts w:ascii="Verdana" w:hAnsi="Verdana"/>
        <w:sz w:val="18"/>
        <w:szCs w:val="18"/>
      </w:rPr>
      <w:instrText xml:space="preserve"> DATE \@ "M/d/yyyy" </w:instrText>
    </w:r>
    <w:r w:rsidRPr="00B446B6">
      <w:rPr>
        <w:rFonts w:ascii="Verdana" w:hAnsi="Verdana"/>
        <w:sz w:val="18"/>
        <w:szCs w:val="18"/>
      </w:rPr>
      <w:fldChar w:fldCharType="separate"/>
    </w:r>
    <w:r w:rsidR="00772C46">
      <w:rPr>
        <w:rFonts w:ascii="Verdana" w:hAnsi="Verdana"/>
        <w:noProof/>
        <w:sz w:val="18"/>
        <w:szCs w:val="18"/>
      </w:rPr>
      <w:t>9/29/2026</w:t>
    </w:r>
    <w:r w:rsidRPr="00B446B6">
      <w:rPr>
        <w:rFonts w:ascii="Verdana" w:hAnsi="Verdan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8432" w14:textId="77777777" w:rsidR="00772C46" w:rsidRDefault="00772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AC334" w14:textId="77777777" w:rsidR="00826822" w:rsidRDefault="00826822">
      <w:r>
        <w:separator/>
      </w:r>
    </w:p>
  </w:footnote>
  <w:footnote w:type="continuationSeparator" w:id="0">
    <w:p w14:paraId="1C77C7D8" w14:textId="77777777" w:rsidR="00826822" w:rsidRDefault="00826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5313" w14:textId="77777777" w:rsidR="00772C46" w:rsidRDefault="00772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6793" w14:textId="6D0862DB" w:rsidR="00F54D6E" w:rsidRDefault="00F54D6E" w:rsidP="009F457C">
    <w:pPr>
      <w:pStyle w:val="Header"/>
    </w:pPr>
  </w:p>
  <w:p w14:paraId="5B022ED4" w14:textId="77777777" w:rsidR="00F54D6E" w:rsidRDefault="00F54D6E" w:rsidP="009F4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AE37" w14:textId="77777777" w:rsidR="00772C46" w:rsidRDefault="00772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130E"/>
    <w:multiLevelType w:val="multilevel"/>
    <w:tmpl w:val="6AB29A36"/>
    <w:lvl w:ilvl="0">
      <w:start w:val="1"/>
      <w:numFmt w:val="decimal"/>
      <w:lvlText w:val="%1"/>
      <w:lvlJc w:val="left"/>
      <w:pPr>
        <w:tabs>
          <w:tab w:val="num" w:pos="675"/>
        </w:tabs>
        <w:ind w:left="675" w:hanging="675"/>
      </w:pPr>
      <w:rPr>
        <w:rFonts w:eastAsia="Verdana" w:cs="Verdana" w:hint="default"/>
        <w:color w:val="6E828F"/>
        <w:sz w:val="20"/>
      </w:rPr>
    </w:lvl>
    <w:lvl w:ilvl="1">
      <w:start w:val="1"/>
      <w:numFmt w:val="decimal"/>
      <w:lvlText w:val="%1.%2"/>
      <w:lvlJc w:val="left"/>
      <w:pPr>
        <w:tabs>
          <w:tab w:val="num" w:pos="720"/>
        </w:tabs>
        <w:ind w:left="720" w:hanging="720"/>
      </w:pPr>
      <w:rPr>
        <w:rFonts w:eastAsia="Verdana" w:cs="Verdana" w:hint="default"/>
        <w:color w:val="6E828F"/>
        <w:sz w:val="20"/>
      </w:rPr>
    </w:lvl>
    <w:lvl w:ilvl="2">
      <w:start w:val="1"/>
      <w:numFmt w:val="decimal"/>
      <w:lvlText w:val="%1.%2.%3"/>
      <w:lvlJc w:val="left"/>
      <w:pPr>
        <w:tabs>
          <w:tab w:val="num" w:pos="720"/>
        </w:tabs>
        <w:ind w:left="720" w:hanging="720"/>
      </w:pPr>
      <w:rPr>
        <w:rFonts w:eastAsia="Verdana" w:cs="Verdana" w:hint="default"/>
        <w:color w:val="6E828F"/>
        <w:sz w:val="20"/>
      </w:rPr>
    </w:lvl>
    <w:lvl w:ilvl="3">
      <w:start w:val="1"/>
      <w:numFmt w:val="decimal"/>
      <w:lvlText w:val="%1.%2.%3.%4"/>
      <w:lvlJc w:val="left"/>
      <w:pPr>
        <w:tabs>
          <w:tab w:val="num" w:pos="1080"/>
        </w:tabs>
        <w:ind w:left="1080" w:hanging="1080"/>
      </w:pPr>
      <w:rPr>
        <w:rFonts w:eastAsia="Verdana" w:cs="Verdana" w:hint="default"/>
        <w:color w:val="6E828F"/>
        <w:sz w:val="20"/>
      </w:rPr>
    </w:lvl>
    <w:lvl w:ilvl="4">
      <w:start w:val="1"/>
      <w:numFmt w:val="decimal"/>
      <w:lvlText w:val="%1.%2.%3.%4.%5"/>
      <w:lvlJc w:val="left"/>
      <w:pPr>
        <w:tabs>
          <w:tab w:val="num" w:pos="1440"/>
        </w:tabs>
        <w:ind w:left="1440" w:hanging="1440"/>
      </w:pPr>
      <w:rPr>
        <w:rFonts w:eastAsia="Verdana" w:cs="Verdana" w:hint="default"/>
        <w:color w:val="6E828F"/>
        <w:sz w:val="20"/>
      </w:rPr>
    </w:lvl>
    <w:lvl w:ilvl="5">
      <w:start w:val="1"/>
      <w:numFmt w:val="decimal"/>
      <w:lvlText w:val="%1.%2.%3.%4.%5.%6"/>
      <w:lvlJc w:val="left"/>
      <w:pPr>
        <w:tabs>
          <w:tab w:val="num" w:pos="1800"/>
        </w:tabs>
        <w:ind w:left="1800" w:hanging="1800"/>
      </w:pPr>
      <w:rPr>
        <w:rFonts w:eastAsia="Verdana" w:cs="Verdana" w:hint="default"/>
        <w:color w:val="6E828F"/>
        <w:sz w:val="20"/>
      </w:rPr>
    </w:lvl>
    <w:lvl w:ilvl="6">
      <w:start w:val="1"/>
      <w:numFmt w:val="decimal"/>
      <w:lvlText w:val="%1.%2.%3.%4.%5.%6.%7"/>
      <w:lvlJc w:val="left"/>
      <w:pPr>
        <w:tabs>
          <w:tab w:val="num" w:pos="1800"/>
        </w:tabs>
        <w:ind w:left="1800" w:hanging="1800"/>
      </w:pPr>
      <w:rPr>
        <w:rFonts w:eastAsia="Verdana" w:cs="Verdana" w:hint="default"/>
        <w:color w:val="6E828F"/>
        <w:sz w:val="20"/>
      </w:rPr>
    </w:lvl>
    <w:lvl w:ilvl="7">
      <w:start w:val="1"/>
      <w:numFmt w:val="decimal"/>
      <w:lvlText w:val="%1.%2.%3.%4.%5.%6.%7.%8"/>
      <w:lvlJc w:val="left"/>
      <w:pPr>
        <w:tabs>
          <w:tab w:val="num" w:pos="2160"/>
        </w:tabs>
        <w:ind w:left="2160" w:hanging="2160"/>
      </w:pPr>
      <w:rPr>
        <w:rFonts w:eastAsia="Verdana" w:cs="Verdana" w:hint="default"/>
        <w:color w:val="6E828F"/>
        <w:sz w:val="20"/>
      </w:rPr>
    </w:lvl>
    <w:lvl w:ilvl="8">
      <w:start w:val="1"/>
      <w:numFmt w:val="decimal"/>
      <w:lvlText w:val="%1.%2.%3.%4.%5.%6.%7.%8.%9"/>
      <w:lvlJc w:val="left"/>
      <w:pPr>
        <w:tabs>
          <w:tab w:val="num" w:pos="2520"/>
        </w:tabs>
        <w:ind w:left="2520" w:hanging="2520"/>
      </w:pPr>
      <w:rPr>
        <w:rFonts w:eastAsia="Verdana" w:cs="Verdana" w:hint="default"/>
        <w:color w:val="6E828F"/>
        <w:sz w:val="20"/>
      </w:rPr>
    </w:lvl>
  </w:abstractNum>
  <w:abstractNum w:abstractNumId="1" w15:restartNumberingAfterBreak="0">
    <w:nsid w:val="16AC024A"/>
    <w:multiLevelType w:val="hybridMultilevel"/>
    <w:tmpl w:val="0EC4C742"/>
    <w:lvl w:ilvl="0" w:tplc="00C8411A">
      <w:start w:val="1"/>
      <w:numFmt w:val="lowerLetter"/>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2" w15:restartNumberingAfterBreak="0">
    <w:nsid w:val="1B4C5787"/>
    <w:multiLevelType w:val="hybridMultilevel"/>
    <w:tmpl w:val="19E23C0E"/>
    <w:lvl w:ilvl="0" w:tplc="83CA7920">
      <w:start w:val="1"/>
      <w:numFmt w:val="bullet"/>
      <w:lvlText w:val=""/>
      <w:lvlJc w:val="left"/>
      <w:pPr>
        <w:tabs>
          <w:tab w:val="num" w:pos="1270"/>
        </w:tabs>
        <w:ind w:left="1211" w:hanging="851"/>
      </w:pPr>
      <w:rPr>
        <w:rFonts w:ascii="Symbol" w:hAnsi="Symbol" w:hint="default"/>
        <w:b w:val="0"/>
        <w:i w:val="0"/>
        <w:color w:val="FF000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9F4577"/>
    <w:multiLevelType w:val="hybridMultilevel"/>
    <w:tmpl w:val="56DE14B0"/>
    <w:lvl w:ilvl="0" w:tplc="0E788F10">
      <w:start w:val="1"/>
      <w:numFmt w:val="decimal"/>
      <w:lvlText w:val="%1"/>
      <w:lvlJc w:val="left"/>
      <w:pPr>
        <w:tabs>
          <w:tab w:val="num" w:pos="1167"/>
        </w:tabs>
        <w:ind w:left="1167" w:hanging="600"/>
      </w:pPr>
      <w:rPr>
        <w:rFonts w:eastAsia="Verdana" w:cs="Verdana" w:hint="default"/>
        <w:color w:val="D52D1F"/>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C506E1"/>
    <w:multiLevelType w:val="hybridMultilevel"/>
    <w:tmpl w:val="0DC0E122"/>
    <w:lvl w:ilvl="0" w:tplc="83CA7920">
      <w:start w:val="1"/>
      <w:numFmt w:val="bullet"/>
      <w:lvlText w:val=""/>
      <w:lvlJc w:val="left"/>
      <w:pPr>
        <w:tabs>
          <w:tab w:val="num" w:pos="1270"/>
        </w:tabs>
        <w:ind w:left="1211" w:hanging="851"/>
      </w:pPr>
      <w:rPr>
        <w:rFonts w:ascii="Symbol" w:hAnsi="Symbol" w:hint="default"/>
        <w:b w:val="0"/>
        <w:i w:val="0"/>
        <w:color w:val="FF000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143A11"/>
    <w:multiLevelType w:val="hybridMultilevel"/>
    <w:tmpl w:val="DDEE8B42"/>
    <w:lvl w:ilvl="0" w:tplc="83CA7920">
      <w:start w:val="1"/>
      <w:numFmt w:val="bullet"/>
      <w:lvlText w:val=""/>
      <w:lvlJc w:val="left"/>
      <w:pPr>
        <w:tabs>
          <w:tab w:val="num" w:pos="1270"/>
        </w:tabs>
        <w:ind w:left="1211" w:hanging="851"/>
      </w:pPr>
      <w:rPr>
        <w:rFonts w:ascii="Symbol" w:hAnsi="Symbol" w:hint="default"/>
        <w:b w:val="0"/>
        <w:i w:val="0"/>
        <w:color w:val="FF000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5B40AB"/>
    <w:multiLevelType w:val="hybridMultilevel"/>
    <w:tmpl w:val="9128539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C9C44F1"/>
    <w:multiLevelType w:val="hybridMultilevel"/>
    <w:tmpl w:val="1FD80C30"/>
    <w:lvl w:ilvl="0" w:tplc="C3AE5B40">
      <w:start w:val="6"/>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6070C82"/>
    <w:multiLevelType w:val="hybridMultilevel"/>
    <w:tmpl w:val="5FE43FC8"/>
    <w:lvl w:ilvl="0" w:tplc="2F7294A0">
      <w:start w:val="1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BE36FC9"/>
    <w:multiLevelType w:val="hybridMultilevel"/>
    <w:tmpl w:val="9C9E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26EE1"/>
    <w:multiLevelType w:val="hybridMultilevel"/>
    <w:tmpl w:val="F23EED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4A5092"/>
    <w:multiLevelType w:val="hybridMultilevel"/>
    <w:tmpl w:val="08F4F492"/>
    <w:lvl w:ilvl="0" w:tplc="BD1672FE">
      <w:start w:val="8"/>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5673E4C"/>
    <w:multiLevelType w:val="hybridMultilevel"/>
    <w:tmpl w:val="F17A8296"/>
    <w:lvl w:ilvl="0" w:tplc="0E788F10">
      <w:start w:val="1"/>
      <w:numFmt w:val="decimal"/>
      <w:lvlText w:val="%1"/>
      <w:lvlJc w:val="left"/>
      <w:pPr>
        <w:tabs>
          <w:tab w:val="num" w:pos="1167"/>
        </w:tabs>
        <w:ind w:left="1167" w:hanging="600"/>
      </w:pPr>
      <w:rPr>
        <w:rFonts w:eastAsia="Verdana" w:cs="Verdana" w:hint="default"/>
        <w:color w:val="D52D1F"/>
        <w:sz w:val="24"/>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3" w15:restartNumberingAfterBreak="0">
    <w:nsid w:val="798C559C"/>
    <w:multiLevelType w:val="hybridMultilevel"/>
    <w:tmpl w:val="3306FD02"/>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4" w15:restartNumberingAfterBreak="0">
    <w:nsid w:val="7E8A366C"/>
    <w:multiLevelType w:val="hybridMultilevel"/>
    <w:tmpl w:val="9A40F30C"/>
    <w:lvl w:ilvl="0" w:tplc="A30690E2">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5" w15:restartNumberingAfterBreak="0">
    <w:nsid w:val="7F570FB4"/>
    <w:multiLevelType w:val="hybridMultilevel"/>
    <w:tmpl w:val="1E9E1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806729">
    <w:abstractNumId w:val="10"/>
  </w:num>
  <w:num w:numId="2" w16cid:durableId="1047485585">
    <w:abstractNumId w:val="2"/>
  </w:num>
  <w:num w:numId="3" w16cid:durableId="1104376741">
    <w:abstractNumId w:val="4"/>
  </w:num>
  <w:num w:numId="4" w16cid:durableId="1175680956">
    <w:abstractNumId w:val="6"/>
  </w:num>
  <w:num w:numId="5" w16cid:durableId="118690960">
    <w:abstractNumId w:val="7"/>
  </w:num>
  <w:num w:numId="6" w16cid:durableId="1208763432">
    <w:abstractNumId w:val="12"/>
  </w:num>
  <w:num w:numId="7" w16cid:durableId="1228492856">
    <w:abstractNumId w:val="11"/>
  </w:num>
  <w:num w:numId="8" w16cid:durableId="1292173678">
    <w:abstractNumId w:val="15"/>
  </w:num>
  <w:num w:numId="9" w16cid:durableId="1426457111">
    <w:abstractNumId w:val="5"/>
  </w:num>
  <w:num w:numId="10" w16cid:durableId="1459451110">
    <w:abstractNumId w:val="14"/>
  </w:num>
  <w:num w:numId="11" w16cid:durableId="1672760472">
    <w:abstractNumId w:val="8"/>
  </w:num>
  <w:num w:numId="12" w16cid:durableId="1820876033">
    <w:abstractNumId w:val="9"/>
  </w:num>
  <w:num w:numId="13" w16cid:durableId="307245097">
    <w:abstractNumId w:val="1"/>
  </w:num>
  <w:num w:numId="14" w16cid:durableId="503665442">
    <w:abstractNumId w:val="0"/>
  </w:num>
  <w:num w:numId="15" w16cid:durableId="723336675">
    <w:abstractNumId w:val="13"/>
  </w:num>
  <w:num w:numId="16" w16cid:durableId="824932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DF1"/>
    <w:rsid w:val="00006640"/>
    <w:rsid w:val="000078FC"/>
    <w:rsid w:val="0001099D"/>
    <w:rsid w:val="000109BD"/>
    <w:rsid w:val="00010CE3"/>
    <w:rsid w:val="00012E69"/>
    <w:rsid w:val="00013303"/>
    <w:rsid w:val="0001631E"/>
    <w:rsid w:val="00017B35"/>
    <w:rsid w:val="00022E48"/>
    <w:rsid w:val="00022E79"/>
    <w:rsid w:val="00023A85"/>
    <w:rsid w:val="00025C49"/>
    <w:rsid w:val="00026505"/>
    <w:rsid w:val="00027300"/>
    <w:rsid w:val="000273B8"/>
    <w:rsid w:val="00031149"/>
    <w:rsid w:val="0003167E"/>
    <w:rsid w:val="000337BE"/>
    <w:rsid w:val="000359AB"/>
    <w:rsid w:val="0004103F"/>
    <w:rsid w:val="00042C74"/>
    <w:rsid w:val="00042E73"/>
    <w:rsid w:val="00044777"/>
    <w:rsid w:val="00047E2C"/>
    <w:rsid w:val="00052BB7"/>
    <w:rsid w:val="00052F75"/>
    <w:rsid w:val="0005332E"/>
    <w:rsid w:val="0005546B"/>
    <w:rsid w:val="0005769A"/>
    <w:rsid w:val="00060E85"/>
    <w:rsid w:val="00061EF6"/>
    <w:rsid w:val="00062931"/>
    <w:rsid w:val="000633F2"/>
    <w:rsid w:val="00063F2F"/>
    <w:rsid w:val="00065BFD"/>
    <w:rsid w:val="00066056"/>
    <w:rsid w:val="00067745"/>
    <w:rsid w:val="00067797"/>
    <w:rsid w:val="00070F1E"/>
    <w:rsid w:val="00071E52"/>
    <w:rsid w:val="000756DB"/>
    <w:rsid w:val="000768DA"/>
    <w:rsid w:val="0008518B"/>
    <w:rsid w:val="00087FF1"/>
    <w:rsid w:val="00090D37"/>
    <w:rsid w:val="00091C82"/>
    <w:rsid w:val="00092229"/>
    <w:rsid w:val="00092984"/>
    <w:rsid w:val="00093010"/>
    <w:rsid w:val="00093F0D"/>
    <w:rsid w:val="000A05E1"/>
    <w:rsid w:val="000A1F46"/>
    <w:rsid w:val="000A599C"/>
    <w:rsid w:val="000A79B7"/>
    <w:rsid w:val="000B075B"/>
    <w:rsid w:val="000B24D5"/>
    <w:rsid w:val="000B27DC"/>
    <w:rsid w:val="000B2988"/>
    <w:rsid w:val="000B3385"/>
    <w:rsid w:val="000B3472"/>
    <w:rsid w:val="000B44C2"/>
    <w:rsid w:val="000B64FB"/>
    <w:rsid w:val="000C2BAE"/>
    <w:rsid w:val="000C2C08"/>
    <w:rsid w:val="000C2ED8"/>
    <w:rsid w:val="000C6AD4"/>
    <w:rsid w:val="000C6ED6"/>
    <w:rsid w:val="000C7039"/>
    <w:rsid w:val="000D061F"/>
    <w:rsid w:val="000D2861"/>
    <w:rsid w:val="000D37A6"/>
    <w:rsid w:val="000D38FB"/>
    <w:rsid w:val="000D3C92"/>
    <w:rsid w:val="000D4933"/>
    <w:rsid w:val="000E59F4"/>
    <w:rsid w:val="000F146C"/>
    <w:rsid w:val="000F206E"/>
    <w:rsid w:val="000F4302"/>
    <w:rsid w:val="00101EC4"/>
    <w:rsid w:val="00104F9A"/>
    <w:rsid w:val="0010593B"/>
    <w:rsid w:val="001077C9"/>
    <w:rsid w:val="0010796B"/>
    <w:rsid w:val="00107BA8"/>
    <w:rsid w:val="00111E02"/>
    <w:rsid w:val="001124D7"/>
    <w:rsid w:val="00112DA7"/>
    <w:rsid w:val="00113140"/>
    <w:rsid w:val="001136A7"/>
    <w:rsid w:val="00115142"/>
    <w:rsid w:val="00116622"/>
    <w:rsid w:val="00116BA8"/>
    <w:rsid w:val="00117C9B"/>
    <w:rsid w:val="00121950"/>
    <w:rsid w:val="001250FE"/>
    <w:rsid w:val="00127999"/>
    <w:rsid w:val="00130BB8"/>
    <w:rsid w:val="00130C00"/>
    <w:rsid w:val="00131DE6"/>
    <w:rsid w:val="0013318F"/>
    <w:rsid w:val="00134597"/>
    <w:rsid w:val="00135A7D"/>
    <w:rsid w:val="00135B8B"/>
    <w:rsid w:val="00137DA6"/>
    <w:rsid w:val="001406B7"/>
    <w:rsid w:val="00140766"/>
    <w:rsid w:val="001413D1"/>
    <w:rsid w:val="0014155E"/>
    <w:rsid w:val="001429BA"/>
    <w:rsid w:val="00143E7D"/>
    <w:rsid w:val="00146A3F"/>
    <w:rsid w:val="00147A28"/>
    <w:rsid w:val="0015298C"/>
    <w:rsid w:val="00152D3A"/>
    <w:rsid w:val="0015326E"/>
    <w:rsid w:val="00153F1A"/>
    <w:rsid w:val="0015505A"/>
    <w:rsid w:val="00155257"/>
    <w:rsid w:val="001564C3"/>
    <w:rsid w:val="00157653"/>
    <w:rsid w:val="001612D0"/>
    <w:rsid w:val="00161874"/>
    <w:rsid w:val="00162589"/>
    <w:rsid w:val="00162B2C"/>
    <w:rsid w:val="0016360D"/>
    <w:rsid w:val="00163F81"/>
    <w:rsid w:val="00164F8E"/>
    <w:rsid w:val="001670F1"/>
    <w:rsid w:val="001709A7"/>
    <w:rsid w:val="00171607"/>
    <w:rsid w:val="001755E9"/>
    <w:rsid w:val="00175E2C"/>
    <w:rsid w:val="00176386"/>
    <w:rsid w:val="001771F9"/>
    <w:rsid w:val="00177C8F"/>
    <w:rsid w:val="001813B7"/>
    <w:rsid w:val="00183B87"/>
    <w:rsid w:val="001871C9"/>
    <w:rsid w:val="00187BD3"/>
    <w:rsid w:val="00187F6D"/>
    <w:rsid w:val="00190992"/>
    <w:rsid w:val="00195267"/>
    <w:rsid w:val="001956C1"/>
    <w:rsid w:val="001A0400"/>
    <w:rsid w:val="001A2721"/>
    <w:rsid w:val="001A2E56"/>
    <w:rsid w:val="001A3E6D"/>
    <w:rsid w:val="001A58F0"/>
    <w:rsid w:val="001A5DE8"/>
    <w:rsid w:val="001A798A"/>
    <w:rsid w:val="001B1BBF"/>
    <w:rsid w:val="001B1DAC"/>
    <w:rsid w:val="001B4818"/>
    <w:rsid w:val="001B5E9C"/>
    <w:rsid w:val="001B791A"/>
    <w:rsid w:val="001B7DDA"/>
    <w:rsid w:val="001C0C3D"/>
    <w:rsid w:val="001C112C"/>
    <w:rsid w:val="001C186D"/>
    <w:rsid w:val="001C1965"/>
    <w:rsid w:val="001C4026"/>
    <w:rsid w:val="001C783E"/>
    <w:rsid w:val="001C7867"/>
    <w:rsid w:val="001D28AF"/>
    <w:rsid w:val="001D488B"/>
    <w:rsid w:val="001D4BFD"/>
    <w:rsid w:val="001D588A"/>
    <w:rsid w:val="001D6D4B"/>
    <w:rsid w:val="001D748E"/>
    <w:rsid w:val="001E03AC"/>
    <w:rsid w:val="001E209D"/>
    <w:rsid w:val="001E2681"/>
    <w:rsid w:val="001E377C"/>
    <w:rsid w:val="001E3C7E"/>
    <w:rsid w:val="001E5BBE"/>
    <w:rsid w:val="001E612D"/>
    <w:rsid w:val="001E768D"/>
    <w:rsid w:val="001E77A5"/>
    <w:rsid w:val="001F0D5B"/>
    <w:rsid w:val="001F2265"/>
    <w:rsid w:val="001F280E"/>
    <w:rsid w:val="001F4081"/>
    <w:rsid w:val="001F476B"/>
    <w:rsid w:val="001F487F"/>
    <w:rsid w:val="001F4AFD"/>
    <w:rsid w:val="001F598D"/>
    <w:rsid w:val="00200683"/>
    <w:rsid w:val="00201B20"/>
    <w:rsid w:val="00203112"/>
    <w:rsid w:val="00204739"/>
    <w:rsid w:val="002053DE"/>
    <w:rsid w:val="00205BDB"/>
    <w:rsid w:val="00206BEF"/>
    <w:rsid w:val="002103B5"/>
    <w:rsid w:val="0021073B"/>
    <w:rsid w:val="00212473"/>
    <w:rsid w:val="00212E7D"/>
    <w:rsid w:val="00213FDB"/>
    <w:rsid w:val="00217424"/>
    <w:rsid w:val="00220994"/>
    <w:rsid w:val="0022129D"/>
    <w:rsid w:val="002219A1"/>
    <w:rsid w:val="00222564"/>
    <w:rsid w:val="00222C7D"/>
    <w:rsid w:val="002239C0"/>
    <w:rsid w:val="0022762F"/>
    <w:rsid w:val="0022767E"/>
    <w:rsid w:val="002279E5"/>
    <w:rsid w:val="002302A4"/>
    <w:rsid w:val="0023094D"/>
    <w:rsid w:val="0023167E"/>
    <w:rsid w:val="00231A36"/>
    <w:rsid w:val="0023226B"/>
    <w:rsid w:val="00233789"/>
    <w:rsid w:val="00234826"/>
    <w:rsid w:val="0023585E"/>
    <w:rsid w:val="002367A2"/>
    <w:rsid w:val="00241D49"/>
    <w:rsid w:val="002429C3"/>
    <w:rsid w:val="002455B5"/>
    <w:rsid w:val="002467C0"/>
    <w:rsid w:val="00247E4A"/>
    <w:rsid w:val="0025222A"/>
    <w:rsid w:val="00254349"/>
    <w:rsid w:val="00254ED5"/>
    <w:rsid w:val="00255AAB"/>
    <w:rsid w:val="00257719"/>
    <w:rsid w:val="00257978"/>
    <w:rsid w:val="002631B9"/>
    <w:rsid w:val="0026339F"/>
    <w:rsid w:val="0026365A"/>
    <w:rsid w:val="00265081"/>
    <w:rsid w:val="0026513C"/>
    <w:rsid w:val="00265342"/>
    <w:rsid w:val="00265CC7"/>
    <w:rsid w:val="00271C53"/>
    <w:rsid w:val="00275D5F"/>
    <w:rsid w:val="00277368"/>
    <w:rsid w:val="00281727"/>
    <w:rsid w:val="00281F18"/>
    <w:rsid w:val="00282578"/>
    <w:rsid w:val="00283470"/>
    <w:rsid w:val="00283570"/>
    <w:rsid w:val="00283C4E"/>
    <w:rsid w:val="002916FA"/>
    <w:rsid w:val="002926BC"/>
    <w:rsid w:val="00292B92"/>
    <w:rsid w:val="00295283"/>
    <w:rsid w:val="00295656"/>
    <w:rsid w:val="00296683"/>
    <w:rsid w:val="00296772"/>
    <w:rsid w:val="00297670"/>
    <w:rsid w:val="002A661D"/>
    <w:rsid w:val="002A78D0"/>
    <w:rsid w:val="002B0242"/>
    <w:rsid w:val="002B3BB8"/>
    <w:rsid w:val="002B40C3"/>
    <w:rsid w:val="002B4D31"/>
    <w:rsid w:val="002B5EA1"/>
    <w:rsid w:val="002B6642"/>
    <w:rsid w:val="002B6AB7"/>
    <w:rsid w:val="002B79A5"/>
    <w:rsid w:val="002C04C1"/>
    <w:rsid w:val="002C0CDF"/>
    <w:rsid w:val="002C0E0F"/>
    <w:rsid w:val="002C1961"/>
    <w:rsid w:val="002C24DF"/>
    <w:rsid w:val="002C5F6B"/>
    <w:rsid w:val="002D1EEC"/>
    <w:rsid w:val="002D30F1"/>
    <w:rsid w:val="002D32D2"/>
    <w:rsid w:val="002D3BFF"/>
    <w:rsid w:val="002D41AF"/>
    <w:rsid w:val="002D570F"/>
    <w:rsid w:val="002D77FD"/>
    <w:rsid w:val="002E3897"/>
    <w:rsid w:val="002E4A24"/>
    <w:rsid w:val="002E557F"/>
    <w:rsid w:val="002E5F02"/>
    <w:rsid w:val="002E658E"/>
    <w:rsid w:val="002E7881"/>
    <w:rsid w:val="002E7964"/>
    <w:rsid w:val="002F07EF"/>
    <w:rsid w:val="002F2272"/>
    <w:rsid w:val="002F2635"/>
    <w:rsid w:val="002F2D91"/>
    <w:rsid w:val="002F3BC0"/>
    <w:rsid w:val="002F4EFB"/>
    <w:rsid w:val="002F79AF"/>
    <w:rsid w:val="002F7A80"/>
    <w:rsid w:val="002F7EE7"/>
    <w:rsid w:val="00300D1C"/>
    <w:rsid w:val="0030357D"/>
    <w:rsid w:val="00304FB4"/>
    <w:rsid w:val="00305F0B"/>
    <w:rsid w:val="003063DF"/>
    <w:rsid w:val="003116E6"/>
    <w:rsid w:val="0031283E"/>
    <w:rsid w:val="0031295E"/>
    <w:rsid w:val="00313625"/>
    <w:rsid w:val="00314324"/>
    <w:rsid w:val="00314556"/>
    <w:rsid w:val="00316D6B"/>
    <w:rsid w:val="0031780C"/>
    <w:rsid w:val="0032132E"/>
    <w:rsid w:val="00321676"/>
    <w:rsid w:val="00323314"/>
    <w:rsid w:val="00323FF0"/>
    <w:rsid w:val="00326367"/>
    <w:rsid w:val="003271D8"/>
    <w:rsid w:val="00331480"/>
    <w:rsid w:val="00332472"/>
    <w:rsid w:val="00332AA5"/>
    <w:rsid w:val="00334501"/>
    <w:rsid w:val="00334FD7"/>
    <w:rsid w:val="00336035"/>
    <w:rsid w:val="00336217"/>
    <w:rsid w:val="00341ACE"/>
    <w:rsid w:val="003435A4"/>
    <w:rsid w:val="00343ECA"/>
    <w:rsid w:val="0034416F"/>
    <w:rsid w:val="00344B68"/>
    <w:rsid w:val="0034533B"/>
    <w:rsid w:val="0034796B"/>
    <w:rsid w:val="00352592"/>
    <w:rsid w:val="00353639"/>
    <w:rsid w:val="00356A37"/>
    <w:rsid w:val="00357BE9"/>
    <w:rsid w:val="00357CAA"/>
    <w:rsid w:val="00357FB9"/>
    <w:rsid w:val="00362B5C"/>
    <w:rsid w:val="003632DD"/>
    <w:rsid w:val="00366AC4"/>
    <w:rsid w:val="00371990"/>
    <w:rsid w:val="00373EEE"/>
    <w:rsid w:val="00373FC8"/>
    <w:rsid w:val="0037617C"/>
    <w:rsid w:val="00376834"/>
    <w:rsid w:val="00376C53"/>
    <w:rsid w:val="00377F5A"/>
    <w:rsid w:val="00380115"/>
    <w:rsid w:val="003814DF"/>
    <w:rsid w:val="0038340F"/>
    <w:rsid w:val="00383CF1"/>
    <w:rsid w:val="00385140"/>
    <w:rsid w:val="00386255"/>
    <w:rsid w:val="00391C15"/>
    <w:rsid w:val="0039259E"/>
    <w:rsid w:val="00393519"/>
    <w:rsid w:val="00393D3A"/>
    <w:rsid w:val="003940B6"/>
    <w:rsid w:val="00394156"/>
    <w:rsid w:val="003959BB"/>
    <w:rsid w:val="00395B3E"/>
    <w:rsid w:val="003A168F"/>
    <w:rsid w:val="003A1F26"/>
    <w:rsid w:val="003A2F92"/>
    <w:rsid w:val="003A5C94"/>
    <w:rsid w:val="003B235E"/>
    <w:rsid w:val="003B3444"/>
    <w:rsid w:val="003B3677"/>
    <w:rsid w:val="003B39E1"/>
    <w:rsid w:val="003B4698"/>
    <w:rsid w:val="003B6C38"/>
    <w:rsid w:val="003C0062"/>
    <w:rsid w:val="003C0739"/>
    <w:rsid w:val="003C0A4C"/>
    <w:rsid w:val="003C0B5A"/>
    <w:rsid w:val="003C0E07"/>
    <w:rsid w:val="003C1374"/>
    <w:rsid w:val="003C220B"/>
    <w:rsid w:val="003C3E42"/>
    <w:rsid w:val="003C5FA7"/>
    <w:rsid w:val="003C71E3"/>
    <w:rsid w:val="003C7889"/>
    <w:rsid w:val="003C7A91"/>
    <w:rsid w:val="003D29C4"/>
    <w:rsid w:val="003D2C6E"/>
    <w:rsid w:val="003D35C3"/>
    <w:rsid w:val="003D47F3"/>
    <w:rsid w:val="003D4C60"/>
    <w:rsid w:val="003D6171"/>
    <w:rsid w:val="003D745F"/>
    <w:rsid w:val="003E0555"/>
    <w:rsid w:val="003E2702"/>
    <w:rsid w:val="003E325F"/>
    <w:rsid w:val="003E73AF"/>
    <w:rsid w:val="003E77EE"/>
    <w:rsid w:val="003E7F7B"/>
    <w:rsid w:val="003F1905"/>
    <w:rsid w:val="003F236C"/>
    <w:rsid w:val="003F392E"/>
    <w:rsid w:val="003F3ED8"/>
    <w:rsid w:val="003F4DF1"/>
    <w:rsid w:val="003F6365"/>
    <w:rsid w:val="003F682A"/>
    <w:rsid w:val="003F6D6D"/>
    <w:rsid w:val="003F73F4"/>
    <w:rsid w:val="003F7F28"/>
    <w:rsid w:val="00401420"/>
    <w:rsid w:val="00402665"/>
    <w:rsid w:val="004029C3"/>
    <w:rsid w:val="00404207"/>
    <w:rsid w:val="004048B3"/>
    <w:rsid w:val="00404B7D"/>
    <w:rsid w:val="004074C2"/>
    <w:rsid w:val="00411C6C"/>
    <w:rsid w:val="00412B43"/>
    <w:rsid w:val="004166C2"/>
    <w:rsid w:val="004171DF"/>
    <w:rsid w:val="0042075F"/>
    <w:rsid w:val="00421301"/>
    <w:rsid w:val="004214A9"/>
    <w:rsid w:val="00423C8F"/>
    <w:rsid w:val="0042512E"/>
    <w:rsid w:val="004273C7"/>
    <w:rsid w:val="004321B1"/>
    <w:rsid w:val="004325E6"/>
    <w:rsid w:val="0043326A"/>
    <w:rsid w:val="00442A71"/>
    <w:rsid w:val="0044307A"/>
    <w:rsid w:val="004432DA"/>
    <w:rsid w:val="00444F38"/>
    <w:rsid w:val="00445D9B"/>
    <w:rsid w:val="00446372"/>
    <w:rsid w:val="0044673C"/>
    <w:rsid w:val="00446D42"/>
    <w:rsid w:val="004516D3"/>
    <w:rsid w:val="0045278B"/>
    <w:rsid w:val="00454382"/>
    <w:rsid w:val="0045559F"/>
    <w:rsid w:val="00456F20"/>
    <w:rsid w:val="00457F1A"/>
    <w:rsid w:val="00457FFB"/>
    <w:rsid w:val="00461F40"/>
    <w:rsid w:val="00463799"/>
    <w:rsid w:val="0047006E"/>
    <w:rsid w:val="00470E24"/>
    <w:rsid w:val="004724F7"/>
    <w:rsid w:val="00472F86"/>
    <w:rsid w:val="00473390"/>
    <w:rsid w:val="00473C09"/>
    <w:rsid w:val="004741DF"/>
    <w:rsid w:val="00475854"/>
    <w:rsid w:val="00477348"/>
    <w:rsid w:val="00481E43"/>
    <w:rsid w:val="00482B32"/>
    <w:rsid w:val="00483E4B"/>
    <w:rsid w:val="00483F0C"/>
    <w:rsid w:val="00485FC8"/>
    <w:rsid w:val="004867FA"/>
    <w:rsid w:val="004870E3"/>
    <w:rsid w:val="0048723B"/>
    <w:rsid w:val="004910DE"/>
    <w:rsid w:val="00492656"/>
    <w:rsid w:val="00493AE0"/>
    <w:rsid w:val="00494F12"/>
    <w:rsid w:val="00496AFB"/>
    <w:rsid w:val="00497D10"/>
    <w:rsid w:val="004A15A9"/>
    <w:rsid w:val="004A1BDA"/>
    <w:rsid w:val="004A2FBF"/>
    <w:rsid w:val="004A317A"/>
    <w:rsid w:val="004A5607"/>
    <w:rsid w:val="004A645F"/>
    <w:rsid w:val="004A7006"/>
    <w:rsid w:val="004B0413"/>
    <w:rsid w:val="004B0492"/>
    <w:rsid w:val="004B0774"/>
    <w:rsid w:val="004B2A4E"/>
    <w:rsid w:val="004B31C7"/>
    <w:rsid w:val="004B4691"/>
    <w:rsid w:val="004B6FC1"/>
    <w:rsid w:val="004B721D"/>
    <w:rsid w:val="004C048F"/>
    <w:rsid w:val="004C102C"/>
    <w:rsid w:val="004C17AC"/>
    <w:rsid w:val="004C18F1"/>
    <w:rsid w:val="004C24D0"/>
    <w:rsid w:val="004C3E73"/>
    <w:rsid w:val="004C4672"/>
    <w:rsid w:val="004C4ACE"/>
    <w:rsid w:val="004C5E36"/>
    <w:rsid w:val="004C6DC0"/>
    <w:rsid w:val="004C7B4D"/>
    <w:rsid w:val="004C7BF7"/>
    <w:rsid w:val="004D01E9"/>
    <w:rsid w:val="004D07F2"/>
    <w:rsid w:val="004D08FD"/>
    <w:rsid w:val="004D13A9"/>
    <w:rsid w:val="004D2281"/>
    <w:rsid w:val="004D22DE"/>
    <w:rsid w:val="004D3626"/>
    <w:rsid w:val="004D41FD"/>
    <w:rsid w:val="004D428F"/>
    <w:rsid w:val="004D5484"/>
    <w:rsid w:val="004D54D2"/>
    <w:rsid w:val="004D5C94"/>
    <w:rsid w:val="004D6526"/>
    <w:rsid w:val="004D6A23"/>
    <w:rsid w:val="004D7C84"/>
    <w:rsid w:val="004E0B92"/>
    <w:rsid w:val="004E1DF4"/>
    <w:rsid w:val="004E2C40"/>
    <w:rsid w:val="004E5173"/>
    <w:rsid w:val="004E5A14"/>
    <w:rsid w:val="004E7158"/>
    <w:rsid w:val="004F15F4"/>
    <w:rsid w:val="004F22C9"/>
    <w:rsid w:val="004F3049"/>
    <w:rsid w:val="004F3370"/>
    <w:rsid w:val="004F4453"/>
    <w:rsid w:val="004F467F"/>
    <w:rsid w:val="004F5CB7"/>
    <w:rsid w:val="004F7733"/>
    <w:rsid w:val="00507616"/>
    <w:rsid w:val="00510217"/>
    <w:rsid w:val="005108D4"/>
    <w:rsid w:val="00510B86"/>
    <w:rsid w:val="005114C7"/>
    <w:rsid w:val="005115DE"/>
    <w:rsid w:val="00512D9A"/>
    <w:rsid w:val="00514B9E"/>
    <w:rsid w:val="005162E6"/>
    <w:rsid w:val="005167A8"/>
    <w:rsid w:val="00517078"/>
    <w:rsid w:val="00521C17"/>
    <w:rsid w:val="00522B78"/>
    <w:rsid w:val="0052322E"/>
    <w:rsid w:val="00524DCA"/>
    <w:rsid w:val="005263BF"/>
    <w:rsid w:val="00527B7B"/>
    <w:rsid w:val="00527F1D"/>
    <w:rsid w:val="005305A7"/>
    <w:rsid w:val="00531978"/>
    <w:rsid w:val="00532460"/>
    <w:rsid w:val="00533234"/>
    <w:rsid w:val="00533ECA"/>
    <w:rsid w:val="0053630E"/>
    <w:rsid w:val="00536A5D"/>
    <w:rsid w:val="00536DA9"/>
    <w:rsid w:val="00536E58"/>
    <w:rsid w:val="00537073"/>
    <w:rsid w:val="00537CA8"/>
    <w:rsid w:val="00537E8C"/>
    <w:rsid w:val="00540B9B"/>
    <w:rsid w:val="005414C0"/>
    <w:rsid w:val="00541808"/>
    <w:rsid w:val="00543EF0"/>
    <w:rsid w:val="005441FB"/>
    <w:rsid w:val="005444C9"/>
    <w:rsid w:val="00544DD9"/>
    <w:rsid w:val="00544F01"/>
    <w:rsid w:val="0054565D"/>
    <w:rsid w:val="0055060A"/>
    <w:rsid w:val="00550B06"/>
    <w:rsid w:val="005518B4"/>
    <w:rsid w:val="00551931"/>
    <w:rsid w:val="00553888"/>
    <w:rsid w:val="005543E7"/>
    <w:rsid w:val="00554A65"/>
    <w:rsid w:val="005555F4"/>
    <w:rsid w:val="00556597"/>
    <w:rsid w:val="00557352"/>
    <w:rsid w:val="00560521"/>
    <w:rsid w:val="00561CF5"/>
    <w:rsid w:val="00562CB8"/>
    <w:rsid w:val="00564341"/>
    <w:rsid w:val="005667BA"/>
    <w:rsid w:val="00566F94"/>
    <w:rsid w:val="00566FDB"/>
    <w:rsid w:val="00572ED4"/>
    <w:rsid w:val="0057365E"/>
    <w:rsid w:val="00574A4F"/>
    <w:rsid w:val="00574B3C"/>
    <w:rsid w:val="005760E5"/>
    <w:rsid w:val="00576184"/>
    <w:rsid w:val="0058012D"/>
    <w:rsid w:val="005808C0"/>
    <w:rsid w:val="00580A69"/>
    <w:rsid w:val="005836DA"/>
    <w:rsid w:val="0058499B"/>
    <w:rsid w:val="00585084"/>
    <w:rsid w:val="005856A3"/>
    <w:rsid w:val="005874A3"/>
    <w:rsid w:val="005901A7"/>
    <w:rsid w:val="00591BDB"/>
    <w:rsid w:val="00591ECF"/>
    <w:rsid w:val="0059330C"/>
    <w:rsid w:val="005938E9"/>
    <w:rsid w:val="00593B1B"/>
    <w:rsid w:val="00593F24"/>
    <w:rsid w:val="0059552D"/>
    <w:rsid w:val="00597183"/>
    <w:rsid w:val="00597C37"/>
    <w:rsid w:val="005A03A9"/>
    <w:rsid w:val="005A1C2C"/>
    <w:rsid w:val="005A25DF"/>
    <w:rsid w:val="005A4218"/>
    <w:rsid w:val="005A5986"/>
    <w:rsid w:val="005A59E1"/>
    <w:rsid w:val="005A5ABA"/>
    <w:rsid w:val="005A5ED0"/>
    <w:rsid w:val="005B1899"/>
    <w:rsid w:val="005B1E23"/>
    <w:rsid w:val="005B2783"/>
    <w:rsid w:val="005B3B5F"/>
    <w:rsid w:val="005B417E"/>
    <w:rsid w:val="005B5F4E"/>
    <w:rsid w:val="005C1665"/>
    <w:rsid w:val="005C17A0"/>
    <w:rsid w:val="005C1D43"/>
    <w:rsid w:val="005C3802"/>
    <w:rsid w:val="005C47B4"/>
    <w:rsid w:val="005C47E1"/>
    <w:rsid w:val="005C54E4"/>
    <w:rsid w:val="005C59A4"/>
    <w:rsid w:val="005C676B"/>
    <w:rsid w:val="005C713E"/>
    <w:rsid w:val="005C7C73"/>
    <w:rsid w:val="005D0149"/>
    <w:rsid w:val="005D0B94"/>
    <w:rsid w:val="005D2F66"/>
    <w:rsid w:val="005D31F0"/>
    <w:rsid w:val="005D33EA"/>
    <w:rsid w:val="005D4297"/>
    <w:rsid w:val="005D4345"/>
    <w:rsid w:val="005D4A21"/>
    <w:rsid w:val="005D51CB"/>
    <w:rsid w:val="005D5BAB"/>
    <w:rsid w:val="005D6BF6"/>
    <w:rsid w:val="005E185C"/>
    <w:rsid w:val="005E3D0F"/>
    <w:rsid w:val="005E465A"/>
    <w:rsid w:val="005E48FA"/>
    <w:rsid w:val="005E5B19"/>
    <w:rsid w:val="005E62C7"/>
    <w:rsid w:val="005E68FB"/>
    <w:rsid w:val="005E79BE"/>
    <w:rsid w:val="005F0A47"/>
    <w:rsid w:val="005F12CF"/>
    <w:rsid w:val="005F17DC"/>
    <w:rsid w:val="005F377A"/>
    <w:rsid w:val="005F37ED"/>
    <w:rsid w:val="005F3BCD"/>
    <w:rsid w:val="005F57C3"/>
    <w:rsid w:val="005F6526"/>
    <w:rsid w:val="006047B6"/>
    <w:rsid w:val="00610269"/>
    <w:rsid w:val="00610B39"/>
    <w:rsid w:val="00611150"/>
    <w:rsid w:val="0061183F"/>
    <w:rsid w:val="0061291C"/>
    <w:rsid w:val="0061501E"/>
    <w:rsid w:val="0061588B"/>
    <w:rsid w:val="00615E6F"/>
    <w:rsid w:val="00616041"/>
    <w:rsid w:val="00616748"/>
    <w:rsid w:val="00617869"/>
    <w:rsid w:val="00617912"/>
    <w:rsid w:val="00620FBD"/>
    <w:rsid w:val="00622779"/>
    <w:rsid w:val="0062286E"/>
    <w:rsid w:val="00626076"/>
    <w:rsid w:val="006268E6"/>
    <w:rsid w:val="00626A26"/>
    <w:rsid w:val="00626EAA"/>
    <w:rsid w:val="00627FAA"/>
    <w:rsid w:val="006302B6"/>
    <w:rsid w:val="00630E2A"/>
    <w:rsid w:val="00633535"/>
    <w:rsid w:val="00635AA6"/>
    <w:rsid w:val="00636B41"/>
    <w:rsid w:val="00640C23"/>
    <w:rsid w:val="00640EB0"/>
    <w:rsid w:val="0064294D"/>
    <w:rsid w:val="00642A55"/>
    <w:rsid w:val="00643AC2"/>
    <w:rsid w:val="006443A5"/>
    <w:rsid w:val="006457C1"/>
    <w:rsid w:val="00645AED"/>
    <w:rsid w:val="0064757B"/>
    <w:rsid w:val="00651405"/>
    <w:rsid w:val="00653CDF"/>
    <w:rsid w:val="00655A56"/>
    <w:rsid w:val="00661732"/>
    <w:rsid w:val="00662067"/>
    <w:rsid w:val="00662272"/>
    <w:rsid w:val="00663EBE"/>
    <w:rsid w:val="0066530F"/>
    <w:rsid w:val="006654D0"/>
    <w:rsid w:val="00665D2A"/>
    <w:rsid w:val="006665F7"/>
    <w:rsid w:val="00666FD1"/>
    <w:rsid w:val="00670546"/>
    <w:rsid w:val="0067094A"/>
    <w:rsid w:val="00673BBD"/>
    <w:rsid w:val="00673E47"/>
    <w:rsid w:val="00674D03"/>
    <w:rsid w:val="00675D9C"/>
    <w:rsid w:val="00677EFD"/>
    <w:rsid w:val="0067B0C1"/>
    <w:rsid w:val="0068044A"/>
    <w:rsid w:val="00680EDE"/>
    <w:rsid w:val="006826F4"/>
    <w:rsid w:val="006830B1"/>
    <w:rsid w:val="00683A70"/>
    <w:rsid w:val="0068448E"/>
    <w:rsid w:val="00684E3B"/>
    <w:rsid w:val="006857CF"/>
    <w:rsid w:val="00692125"/>
    <w:rsid w:val="00692BA9"/>
    <w:rsid w:val="00694D14"/>
    <w:rsid w:val="00694EA4"/>
    <w:rsid w:val="006953D2"/>
    <w:rsid w:val="00697642"/>
    <w:rsid w:val="006A04FE"/>
    <w:rsid w:val="006A3F0E"/>
    <w:rsid w:val="006A4E70"/>
    <w:rsid w:val="006A554C"/>
    <w:rsid w:val="006B17ED"/>
    <w:rsid w:val="006B20B1"/>
    <w:rsid w:val="006B27B2"/>
    <w:rsid w:val="006B52C5"/>
    <w:rsid w:val="006B6409"/>
    <w:rsid w:val="006B6439"/>
    <w:rsid w:val="006C20F9"/>
    <w:rsid w:val="006C23B4"/>
    <w:rsid w:val="006C34A7"/>
    <w:rsid w:val="006C46A5"/>
    <w:rsid w:val="006C4A66"/>
    <w:rsid w:val="006C4E1F"/>
    <w:rsid w:val="006C4F4C"/>
    <w:rsid w:val="006C6134"/>
    <w:rsid w:val="006D0003"/>
    <w:rsid w:val="006D1058"/>
    <w:rsid w:val="006D1D50"/>
    <w:rsid w:val="006D2583"/>
    <w:rsid w:val="006D25CD"/>
    <w:rsid w:val="006D4F63"/>
    <w:rsid w:val="006D5DD9"/>
    <w:rsid w:val="006D6148"/>
    <w:rsid w:val="006D7318"/>
    <w:rsid w:val="006D7A8E"/>
    <w:rsid w:val="006E1636"/>
    <w:rsid w:val="006E2197"/>
    <w:rsid w:val="006E4EC2"/>
    <w:rsid w:val="006E66C1"/>
    <w:rsid w:val="006F0CA6"/>
    <w:rsid w:val="006F1FE5"/>
    <w:rsid w:val="006F2FFB"/>
    <w:rsid w:val="006F3D24"/>
    <w:rsid w:val="006F7048"/>
    <w:rsid w:val="00702A65"/>
    <w:rsid w:val="0070589C"/>
    <w:rsid w:val="00710210"/>
    <w:rsid w:val="00710C0B"/>
    <w:rsid w:val="00712237"/>
    <w:rsid w:val="007128AD"/>
    <w:rsid w:val="00713A61"/>
    <w:rsid w:val="00713DC0"/>
    <w:rsid w:val="00713FD2"/>
    <w:rsid w:val="00715819"/>
    <w:rsid w:val="00716496"/>
    <w:rsid w:val="00716846"/>
    <w:rsid w:val="00720B50"/>
    <w:rsid w:val="00720CE0"/>
    <w:rsid w:val="00721B40"/>
    <w:rsid w:val="007222A2"/>
    <w:rsid w:val="00723427"/>
    <w:rsid w:val="007246C8"/>
    <w:rsid w:val="00725CF9"/>
    <w:rsid w:val="00727613"/>
    <w:rsid w:val="00727A78"/>
    <w:rsid w:val="00727D7C"/>
    <w:rsid w:val="0073017A"/>
    <w:rsid w:val="0073074A"/>
    <w:rsid w:val="00730B82"/>
    <w:rsid w:val="00730F7C"/>
    <w:rsid w:val="00732C2C"/>
    <w:rsid w:val="00733E49"/>
    <w:rsid w:val="00734C57"/>
    <w:rsid w:val="00734FCE"/>
    <w:rsid w:val="00736D6D"/>
    <w:rsid w:val="00742742"/>
    <w:rsid w:val="00743244"/>
    <w:rsid w:val="007440CB"/>
    <w:rsid w:val="00744116"/>
    <w:rsid w:val="00746B99"/>
    <w:rsid w:val="00747579"/>
    <w:rsid w:val="00750452"/>
    <w:rsid w:val="00755231"/>
    <w:rsid w:val="007552B2"/>
    <w:rsid w:val="00760227"/>
    <w:rsid w:val="00760FB5"/>
    <w:rsid w:val="00761BF0"/>
    <w:rsid w:val="00765A05"/>
    <w:rsid w:val="00766D37"/>
    <w:rsid w:val="00767163"/>
    <w:rsid w:val="00772583"/>
    <w:rsid w:val="00772C46"/>
    <w:rsid w:val="007748F4"/>
    <w:rsid w:val="007757B7"/>
    <w:rsid w:val="0077757B"/>
    <w:rsid w:val="00780422"/>
    <w:rsid w:val="00785AC8"/>
    <w:rsid w:val="0078721C"/>
    <w:rsid w:val="00790781"/>
    <w:rsid w:val="0079100F"/>
    <w:rsid w:val="00791EED"/>
    <w:rsid w:val="007926E2"/>
    <w:rsid w:val="00792711"/>
    <w:rsid w:val="00792FF3"/>
    <w:rsid w:val="00793D0C"/>
    <w:rsid w:val="0079557C"/>
    <w:rsid w:val="00796A4F"/>
    <w:rsid w:val="007A189F"/>
    <w:rsid w:val="007A4AE2"/>
    <w:rsid w:val="007A78D1"/>
    <w:rsid w:val="007B0CC6"/>
    <w:rsid w:val="007B1583"/>
    <w:rsid w:val="007B31ED"/>
    <w:rsid w:val="007B38A4"/>
    <w:rsid w:val="007C05C6"/>
    <w:rsid w:val="007C1825"/>
    <w:rsid w:val="007C256E"/>
    <w:rsid w:val="007C3189"/>
    <w:rsid w:val="007D3F28"/>
    <w:rsid w:val="007D466F"/>
    <w:rsid w:val="007D4D04"/>
    <w:rsid w:val="007D5229"/>
    <w:rsid w:val="007D5346"/>
    <w:rsid w:val="007D5B43"/>
    <w:rsid w:val="007D747E"/>
    <w:rsid w:val="007E48B6"/>
    <w:rsid w:val="007E5DA8"/>
    <w:rsid w:val="007E62B2"/>
    <w:rsid w:val="007E6653"/>
    <w:rsid w:val="007E66FD"/>
    <w:rsid w:val="007E67C3"/>
    <w:rsid w:val="007F0465"/>
    <w:rsid w:val="007F0B99"/>
    <w:rsid w:val="007F0BB8"/>
    <w:rsid w:val="007F0FFB"/>
    <w:rsid w:val="007F11E5"/>
    <w:rsid w:val="007F34E1"/>
    <w:rsid w:val="007F34E9"/>
    <w:rsid w:val="007F3D1A"/>
    <w:rsid w:val="007F3F83"/>
    <w:rsid w:val="007F40B3"/>
    <w:rsid w:val="007F5FB2"/>
    <w:rsid w:val="007F6E69"/>
    <w:rsid w:val="007F7B23"/>
    <w:rsid w:val="007F7F7F"/>
    <w:rsid w:val="008005C7"/>
    <w:rsid w:val="00801138"/>
    <w:rsid w:val="008022FF"/>
    <w:rsid w:val="00805961"/>
    <w:rsid w:val="00805A41"/>
    <w:rsid w:val="00805D3A"/>
    <w:rsid w:val="008063AD"/>
    <w:rsid w:val="0080655C"/>
    <w:rsid w:val="008069C1"/>
    <w:rsid w:val="00806DD8"/>
    <w:rsid w:val="00807B52"/>
    <w:rsid w:val="00811121"/>
    <w:rsid w:val="00812DD1"/>
    <w:rsid w:val="008134DA"/>
    <w:rsid w:val="008144D4"/>
    <w:rsid w:val="00814E58"/>
    <w:rsid w:val="00815165"/>
    <w:rsid w:val="00815370"/>
    <w:rsid w:val="0081750A"/>
    <w:rsid w:val="008206F6"/>
    <w:rsid w:val="0082118C"/>
    <w:rsid w:val="008234D7"/>
    <w:rsid w:val="00825167"/>
    <w:rsid w:val="0082637C"/>
    <w:rsid w:val="00826822"/>
    <w:rsid w:val="0083091E"/>
    <w:rsid w:val="0083130B"/>
    <w:rsid w:val="00832EB8"/>
    <w:rsid w:val="00841439"/>
    <w:rsid w:val="00842719"/>
    <w:rsid w:val="008428DD"/>
    <w:rsid w:val="00843E39"/>
    <w:rsid w:val="00844172"/>
    <w:rsid w:val="00846B23"/>
    <w:rsid w:val="00846B40"/>
    <w:rsid w:val="0084753D"/>
    <w:rsid w:val="00847BE2"/>
    <w:rsid w:val="00850B02"/>
    <w:rsid w:val="008510B0"/>
    <w:rsid w:val="00851402"/>
    <w:rsid w:val="00851B43"/>
    <w:rsid w:val="00851E7A"/>
    <w:rsid w:val="00853D63"/>
    <w:rsid w:val="008546B6"/>
    <w:rsid w:val="00854DAE"/>
    <w:rsid w:val="00854DD7"/>
    <w:rsid w:val="00856545"/>
    <w:rsid w:val="00857ACE"/>
    <w:rsid w:val="00863C53"/>
    <w:rsid w:val="008646F5"/>
    <w:rsid w:val="00864F48"/>
    <w:rsid w:val="00866B6C"/>
    <w:rsid w:val="008709F4"/>
    <w:rsid w:val="008729F8"/>
    <w:rsid w:val="008760A6"/>
    <w:rsid w:val="0088460D"/>
    <w:rsid w:val="008868B8"/>
    <w:rsid w:val="00886E29"/>
    <w:rsid w:val="00887B39"/>
    <w:rsid w:val="00891D94"/>
    <w:rsid w:val="008930DD"/>
    <w:rsid w:val="00893DC5"/>
    <w:rsid w:val="0089497D"/>
    <w:rsid w:val="00894E89"/>
    <w:rsid w:val="008A1351"/>
    <w:rsid w:val="008A2984"/>
    <w:rsid w:val="008A2A14"/>
    <w:rsid w:val="008A2AFE"/>
    <w:rsid w:val="008A568A"/>
    <w:rsid w:val="008A5958"/>
    <w:rsid w:val="008A5ADD"/>
    <w:rsid w:val="008A6F78"/>
    <w:rsid w:val="008A7E60"/>
    <w:rsid w:val="008B1EB2"/>
    <w:rsid w:val="008B3058"/>
    <w:rsid w:val="008B4F5C"/>
    <w:rsid w:val="008B5692"/>
    <w:rsid w:val="008B5C3D"/>
    <w:rsid w:val="008B68F7"/>
    <w:rsid w:val="008B732B"/>
    <w:rsid w:val="008B7DFB"/>
    <w:rsid w:val="008D0930"/>
    <w:rsid w:val="008D0B9E"/>
    <w:rsid w:val="008D11F7"/>
    <w:rsid w:val="008D2C5F"/>
    <w:rsid w:val="008D372E"/>
    <w:rsid w:val="008D3EDC"/>
    <w:rsid w:val="008D4451"/>
    <w:rsid w:val="008D559A"/>
    <w:rsid w:val="008D577F"/>
    <w:rsid w:val="008D5866"/>
    <w:rsid w:val="008D589B"/>
    <w:rsid w:val="008D6D9B"/>
    <w:rsid w:val="008E001F"/>
    <w:rsid w:val="008E07E2"/>
    <w:rsid w:val="008E1D0C"/>
    <w:rsid w:val="008E3284"/>
    <w:rsid w:val="008E45F5"/>
    <w:rsid w:val="008E5AE6"/>
    <w:rsid w:val="008E6AB0"/>
    <w:rsid w:val="008E6AE4"/>
    <w:rsid w:val="008E7B95"/>
    <w:rsid w:val="008F022D"/>
    <w:rsid w:val="008F23E1"/>
    <w:rsid w:val="008F3FD1"/>
    <w:rsid w:val="008F4CEA"/>
    <w:rsid w:val="008F698F"/>
    <w:rsid w:val="009011F2"/>
    <w:rsid w:val="00903255"/>
    <w:rsid w:val="00904021"/>
    <w:rsid w:val="00904BF7"/>
    <w:rsid w:val="009056E6"/>
    <w:rsid w:val="00910FEE"/>
    <w:rsid w:val="0091107F"/>
    <w:rsid w:val="009124C9"/>
    <w:rsid w:val="00913186"/>
    <w:rsid w:val="00914220"/>
    <w:rsid w:val="00914379"/>
    <w:rsid w:val="0091583B"/>
    <w:rsid w:val="00915CF5"/>
    <w:rsid w:val="00916A0F"/>
    <w:rsid w:val="00917F32"/>
    <w:rsid w:val="0092121D"/>
    <w:rsid w:val="009216ED"/>
    <w:rsid w:val="009257F0"/>
    <w:rsid w:val="00926B2E"/>
    <w:rsid w:val="00927AF9"/>
    <w:rsid w:val="00930344"/>
    <w:rsid w:val="009305EA"/>
    <w:rsid w:val="009307A7"/>
    <w:rsid w:val="00931DD8"/>
    <w:rsid w:val="00931EF5"/>
    <w:rsid w:val="00932B83"/>
    <w:rsid w:val="00932D55"/>
    <w:rsid w:val="00933047"/>
    <w:rsid w:val="009334B7"/>
    <w:rsid w:val="009351EC"/>
    <w:rsid w:val="00937C4C"/>
    <w:rsid w:val="0094123C"/>
    <w:rsid w:val="0094205E"/>
    <w:rsid w:val="00942E2C"/>
    <w:rsid w:val="0094484F"/>
    <w:rsid w:val="00947847"/>
    <w:rsid w:val="00952901"/>
    <w:rsid w:val="00955EB9"/>
    <w:rsid w:val="00956572"/>
    <w:rsid w:val="00956DED"/>
    <w:rsid w:val="00961840"/>
    <w:rsid w:val="00961F65"/>
    <w:rsid w:val="00962836"/>
    <w:rsid w:val="0096347D"/>
    <w:rsid w:val="0096702B"/>
    <w:rsid w:val="00967A58"/>
    <w:rsid w:val="00967E0B"/>
    <w:rsid w:val="009731DE"/>
    <w:rsid w:val="0097341B"/>
    <w:rsid w:val="00974CFA"/>
    <w:rsid w:val="00975555"/>
    <w:rsid w:val="009774F6"/>
    <w:rsid w:val="00977876"/>
    <w:rsid w:val="0098010A"/>
    <w:rsid w:val="0098020D"/>
    <w:rsid w:val="0098178A"/>
    <w:rsid w:val="009820E4"/>
    <w:rsid w:val="00982874"/>
    <w:rsid w:val="0098318A"/>
    <w:rsid w:val="009845E4"/>
    <w:rsid w:val="00985DE2"/>
    <w:rsid w:val="009871C5"/>
    <w:rsid w:val="0099100A"/>
    <w:rsid w:val="009935EF"/>
    <w:rsid w:val="00994022"/>
    <w:rsid w:val="009942BF"/>
    <w:rsid w:val="00996B3F"/>
    <w:rsid w:val="009A1DF9"/>
    <w:rsid w:val="009A7699"/>
    <w:rsid w:val="009B2F03"/>
    <w:rsid w:val="009B4877"/>
    <w:rsid w:val="009B4BEB"/>
    <w:rsid w:val="009B5591"/>
    <w:rsid w:val="009B70FE"/>
    <w:rsid w:val="009C2A79"/>
    <w:rsid w:val="009C64F8"/>
    <w:rsid w:val="009C786A"/>
    <w:rsid w:val="009D282D"/>
    <w:rsid w:val="009D3B12"/>
    <w:rsid w:val="009D3D52"/>
    <w:rsid w:val="009D484B"/>
    <w:rsid w:val="009D4AC7"/>
    <w:rsid w:val="009D4D0F"/>
    <w:rsid w:val="009D53FC"/>
    <w:rsid w:val="009E0826"/>
    <w:rsid w:val="009E264B"/>
    <w:rsid w:val="009E387A"/>
    <w:rsid w:val="009E3B7F"/>
    <w:rsid w:val="009E4789"/>
    <w:rsid w:val="009E6659"/>
    <w:rsid w:val="009E768E"/>
    <w:rsid w:val="009F033E"/>
    <w:rsid w:val="009F0CA6"/>
    <w:rsid w:val="009F121B"/>
    <w:rsid w:val="009F121F"/>
    <w:rsid w:val="009F23E3"/>
    <w:rsid w:val="009F33C5"/>
    <w:rsid w:val="009F3B68"/>
    <w:rsid w:val="009F457C"/>
    <w:rsid w:val="009F48A3"/>
    <w:rsid w:val="009F5E57"/>
    <w:rsid w:val="00A01B81"/>
    <w:rsid w:val="00A0394E"/>
    <w:rsid w:val="00A04F47"/>
    <w:rsid w:val="00A0588F"/>
    <w:rsid w:val="00A05CA4"/>
    <w:rsid w:val="00A05DA6"/>
    <w:rsid w:val="00A063CF"/>
    <w:rsid w:val="00A0705F"/>
    <w:rsid w:val="00A0786A"/>
    <w:rsid w:val="00A079F0"/>
    <w:rsid w:val="00A11FD0"/>
    <w:rsid w:val="00A13764"/>
    <w:rsid w:val="00A14D1E"/>
    <w:rsid w:val="00A16702"/>
    <w:rsid w:val="00A17012"/>
    <w:rsid w:val="00A21217"/>
    <w:rsid w:val="00A21F24"/>
    <w:rsid w:val="00A2248D"/>
    <w:rsid w:val="00A25897"/>
    <w:rsid w:val="00A26A26"/>
    <w:rsid w:val="00A27D0D"/>
    <w:rsid w:val="00A3008A"/>
    <w:rsid w:val="00A32C92"/>
    <w:rsid w:val="00A3331E"/>
    <w:rsid w:val="00A40165"/>
    <w:rsid w:val="00A4053E"/>
    <w:rsid w:val="00A4110C"/>
    <w:rsid w:val="00A42559"/>
    <w:rsid w:val="00A43BA6"/>
    <w:rsid w:val="00A43BCC"/>
    <w:rsid w:val="00A46712"/>
    <w:rsid w:val="00A46E52"/>
    <w:rsid w:val="00A51E62"/>
    <w:rsid w:val="00A63691"/>
    <w:rsid w:val="00A659B6"/>
    <w:rsid w:val="00A67EA4"/>
    <w:rsid w:val="00A7177A"/>
    <w:rsid w:val="00A74AE4"/>
    <w:rsid w:val="00A75547"/>
    <w:rsid w:val="00A7559C"/>
    <w:rsid w:val="00A808DF"/>
    <w:rsid w:val="00A8180A"/>
    <w:rsid w:val="00A82304"/>
    <w:rsid w:val="00A8262A"/>
    <w:rsid w:val="00A84C4E"/>
    <w:rsid w:val="00A87EB1"/>
    <w:rsid w:val="00A9134F"/>
    <w:rsid w:val="00A94F69"/>
    <w:rsid w:val="00A95943"/>
    <w:rsid w:val="00A97291"/>
    <w:rsid w:val="00A976A3"/>
    <w:rsid w:val="00AA0848"/>
    <w:rsid w:val="00AA0CA2"/>
    <w:rsid w:val="00AA1D70"/>
    <w:rsid w:val="00AA2103"/>
    <w:rsid w:val="00AA286D"/>
    <w:rsid w:val="00AA2F94"/>
    <w:rsid w:val="00AA2FDC"/>
    <w:rsid w:val="00AA4507"/>
    <w:rsid w:val="00AA4D50"/>
    <w:rsid w:val="00AA55E1"/>
    <w:rsid w:val="00AB34D4"/>
    <w:rsid w:val="00AB4221"/>
    <w:rsid w:val="00AB6220"/>
    <w:rsid w:val="00AB7537"/>
    <w:rsid w:val="00AB7B55"/>
    <w:rsid w:val="00AC3424"/>
    <w:rsid w:val="00AC4E04"/>
    <w:rsid w:val="00AC6625"/>
    <w:rsid w:val="00AC6E92"/>
    <w:rsid w:val="00AC747E"/>
    <w:rsid w:val="00AC7CB7"/>
    <w:rsid w:val="00AC7ED8"/>
    <w:rsid w:val="00AD0100"/>
    <w:rsid w:val="00AD10BC"/>
    <w:rsid w:val="00AD13FF"/>
    <w:rsid w:val="00AD29D4"/>
    <w:rsid w:val="00AD3714"/>
    <w:rsid w:val="00AD3E24"/>
    <w:rsid w:val="00AD512B"/>
    <w:rsid w:val="00AD7880"/>
    <w:rsid w:val="00AD7BDA"/>
    <w:rsid w:val="00AD7F9B"/>
    <w:rsid w:val="00AE10BA"/>
    <w:rsid w:val="00AE116C"/>
    <w:rsid w:val="00AE217C"/>
    <w:rsid w:val="00AE30E7"/>
    <w:rsid w:val="00AE3F9C"/>
    <w:rsid w:val="00AE4393"/>
    <w:rsid w:val="00AE4AA4"/>
    <w:rsid w:val="00AE5A17"/>
    <w:rsid w:val="00AE5BA7"/>
    <w:rsid w:val="00AE60C5"/>
    <w:rsid w:val="00AE70F1"/>
    <w:rsid w:val="00AF0774"/>
    <w:rsid w:val="00AF0F24"/>
    <w:rsid w:val="00AF117D"/>
    <w:rsid w:val="00AF1562"/>
    <w:rsid w:val="00AF2195"/>
    <w:rsid w:val="00AF653C"/>
    <w:rsid w:val="00AF795A"/>
    <w:rsid w:val="00AF79C0"/>
    <w:rsid w:val="00B0174F"/>
    <w:rsid w:val="00B02197"/>
    <w:rsid w:val="00B038BF"/>
    <w:rsid w:val="00B03CAD"/>
    <w:rsid w:val="00B05283"/>
    <w:rsid w:val="00B05BCE"/>
    <w:rsid w:val="00B106FF"/>
    <w:rsid w:val="00B10F00"/>
    <w:rsid w:val="00B111C9"/>
    <w:rsid w:val="00B12099"/>
    <w:rsid w:val="00B13A7C"/>
    <w:rsid w:val="00B16D1D"/>
    <w:rsid w:val="00B172BC"/>
    <w:rsid w:val="00B17399"/>
    <w:rsid w:val="00B17525"/>
    <w:rsid w:val="00B17ECA"/>
    <w:rsid w:val="00B21C5B"/>
    <w:rsid w:val="00B21F42"/>
    <w:rsid w:val="00B230F3"/>
    <w:rsid w:val="00B23CE4"/>
    <w:rsid w:val="00B25C57"/>
    <w:rsid w:val="00B27444"/>
    <w:rsid w:val="00B27A6C"/>
    <w:rsid w:val="00B30833"/>
    <w:rsid w:val="00B31708"/>
    <w:rsid w:val="00B31D52"/>
    <w:rsid w:val="00B31F68"/>
    <w:rsid w:val="00B34507"/>
    <w:rsid w:val="00B35622"/>
    <w:rsid w:val="00B35AC0"/>
    <w:rsid w:val="00B35B2F"/>
    <w:rsid w:val="00B36778"/>
    <w:rsid w:val="00B37574"/>
    <w:rsid w:val="00B4129D"/>
    <w:rsid w:val="00B42C4D"/>
    <w:rsid w:val="00B434B8"/>
    <w:rsid w:val="00B43D46"/>
    <w:rsid w:val="00B446B6"/>
    <w:rsid w:val="00B453A1"/>
    <w:rsid w:val="00B45712"/>
    <w:rsid w:val="00B45EC5"/>
    <w:rsid w:val="00B46381"/>
    <w:rsid w:val="00B46D04"/>
    <w:rsid w:val="00B50879"/>
    <w:rsid w:val="00B50ABC"/>
    <w:rsid w:val="00B51A29"/>
    <w:rsid w:val="00B55105"/>
    <w:rsid w:val="00B554B6"/>
    <w:rsid w:val="00B604A1"/>
    <w:rsid w:val="00B621CA"/>
    <w:rsid w:val="00B63C7C"/>
    <w:rsid w:val="00B64B31"/>
    <w:rsid w:val="00B64B9E"/>
    <w:rsid w:val="00B652A9"/>
    <w:rsid w:val="00B661C2"/>
    <w:rsid w:val="00B6674B"/>
    <w:rsid w:val="00B71BCF"/>
    <w:rsid w:val="00B73740"/>
    <w:rsid w:val="00B740B6"/>
    <w:rsid w:val="00B746C5"/>
    <w:rsid w:val="00B75FD4"/>
    <w:rsid w:val="00B76183"/>
    <w:rsid w:val="00B7627E"/>
    <w:rsid w:val="00B76BFA"/>
    <w:rsid w:val="00B76D66"/>
    <w:rsid w:val="00B77783"/>
    <w:rsid w:val="00B80568"/>
    <w:rsid w:val="00B80DCA"/>
    <w:rsid w:val="00B82F60"/>
    <w:rsid w:val="00B84A6C"/>
    <w:rsid w:val="00B87D7C"/>
    <w:rsid w:val="00B91E91"/>
    <w:rsid w:val="00B92AB1"/>
    <w:rsid w:val="00B93A89"/>
    <w:rsid w:val="00B959E3"/>
    <w:rsid w:val="00B95B02"/>
    <w:rsid w:val="00B9606A"/>
    <w:rsid w:val="00B96BA1"/>
    <w:rsid w:val="00B97419"/>
    <w:rsid w:val="00B976E6"/>
    <w:rsid w:val="00BA1FBE"/>
    <w:rsid w:val="00BA28D9"/>
    <w:rsid w:val="00BA3A04"/>
    <w:rsid w:val="00BA63EA"/>
    <w:rsid w:val="00BB32BF"/>
    <w:rsid w:val="00BB4D1E"/>
    <w:rsid w:val="00BB74B5"/>
    <w:rsid w:val="00BB7725"/>
    <w:rsid w:val="00BC33E9"/>
    <w:rsid w:val="00BC3C78"/>
    <w:rsid w:val="00BC62EE"/>
    <w:rsid w:val="00BC7DF7"/>
    <w:rsid w:val="00BD027C"/>
    <w:rsid w:val="00BD0717"/>
    <w:rsid w:val="00BD0BB7"/>
    <w:rsid w:val="00BD4041"/>
    <w:rsid w:val="00BE05F6"/>
    <w:rsid w:val="00BE0D9C"/>
    <w:rsid w:val="00BE4739"/>
    <w:rsid w:val="00BE5012"/>
    <w:rsid w:val="00BE52CB"/>
    <w:rsid w:val="00BE5C1C"/>
    <w:rsid w:val="00BE64EE"/>
    <w:rsid w:val="00BE6842"/>
    <w:rsid w:val="00BE7C24"/>
    <w:rsid w:val="00BF03FA"/>
    <w:rsid w:val="00BF56CE"/>
    <w:rsid w:val="00BF621E"/>
    <w:rsid w:val="00BF6CA5"/>
    <w:rsid w:val="00C01A63"/>
    <w:rsid w:val="00C01A70"/>
    <w:rsid w:val="00C02F25"/>
    <w:rsid w:val="00C05433"/>
    <w:rsid w:val="00C067F4"/>
    <w:rsid w:val="00C0708F"/>
    <w:rsid w:val="00C11152"/>
    <w:rsid w:val="00C125FD"/>
    <w:rsid w:val="00C1264C"/>
    <w:rsid w:val="00C1344D"/>
    <w:rsid w:val="00C1447F"/>
    <w:rsid w:val="00C14741"/>
    <w:rsid w:val="00C14813"/>
    <w:rsid w:val="00C176B8"/>
    <w:rsid w:val="00C17DF8"/>
    <w:rsid w:val="00C201F8"/>
    <w:rsid w:val="00C21CC4"/>
    <w:rsid w:val="00C241BF"/>
    <w:rsid w:val="00C2639E"/>
    <w:rsid w:val="00C30459"/>
    <w:rsid w:val="00C30681"/>
    <w:rsid w:val="00C34730"/>
    <w:rsid w:val="00C36271"/>
    <w:rsid w:val="00C401FF"/>
    <w:rsid w:val="00C40DCD"/>
    <w:rsid w:val="00C4152C"/>
    <w:rsid w:val="00C42B50"/>
    <w:rsid w:val="00C439AF"/>
    <w:rsid w:val="00C4789F"/>
    <w:rsid w:val="00C500A8"/>
    <w:rsid w:val="00C5016C"/>
    <w:rsid w:val="00C5371F"/>
    <w:rsid w:val="00C53A5B"/>
    <w:rsid w:val="00C53EB4"/>
    <w:rsid w:val="00C54124"/>
    <w:rsid w:val="00C5642A"/>
    <w:rsid w:val="00C57975"/>
    <w:rsid w:val="00C60094"/>
    <w:rsid w:val="00C60193"/>
    <w:rsid w:val="00C619D0"/>
    <w:rsid w:val="00C6400F"/>
    <w:rsid w:val="00C6537C"/>
    <w:rsid w:val="00C65FAB"/>
    <w:rsid w:val="00C72DDF"/>
    <w:rsid w:val="00C7362B"/>
    <w:rsid w:val="00C7442C"/>
    <w:rsid w:val="00C74E82"/>
    <w:rsid w:val="00C760AF"/>
    <w:rsid w:val="00C77357"/>
    <w:rsid w:val="00C8020E"/>
    <w:rsid w:val="00C8025B"/>
    <w:rsid w:val="00C81774"/>
    <w:rsid w:val="00C84CE1"/>
    <w:rsid w:val="00C87A9E"/>
    <w:rsid w:val="00C87AB8"/>
    <w:rsid w:val="00C92EFA"/>
    <w:rsid w:val="00C94101"/>
    <w:rsid w:val="00C94EB5"/>
    <w:rsid w:val="00C955A3"/>
    <w:rsid w:val="00C96394"/>
    <w:rsid w:val="00C978FB"/>
    <w:rsid w:val="00CA266A"/>
    <w:rsid w:val="00CA2BC6"/>
    <w:rsid w:val="00CA3DAE"/>
    <w:rsid w:val="00CA5203"/>
    <w:rsid w:val="00CA58BE"/>
    <w:rsid w:val="00CA5943"/>
    <w:rsid w:val="00CA5EE8"/>
    <w:rsid w:val="00CA74ED"/>
    <w:rsid w:val="00CB0622"/>
    <w:rsid w:val="00CB10CA"/>
    <w:rsid w:val="00CB1E6A"/>
    <w:rsid w:val="00CB3281"/>
    <w:rsid w:val="00CB551A"/>
    <w:rsid w:val="00CB5574"/>
    <w:rsid w:val="00CB7953"/>
    <w:rsid w:val="00CC12CC"/>
    <w:rsid w:val="00CC1F07"/>
    <w:rsid w:val="00CC26C3"/>
    <w:rsid w:val="00CC29A5"/>
    <w:rsid w:val="00CC51F9"/>
    <w:rsid w:val="00CC6C83"/>
    <w:rsid w:val="00CD1902"/>
    <w:rsid w:val="00CD1B72"/>
    <w:rsid w:val="00CD260A"/>
    <w:rsid w:val="00CD3E0C"/>
    <w:rsid w:val="00CD5748"/>
    <w:rsid w:val="00CD6228"/>
    <w:rsid w:val="00CD7327"/>
    <w:rsid w:val="00CD7CBB"/>
    <w:rsid w:val="00CE0B13"/>
    <w:rsid w:val="00CE1EFD"/>
    <w:rsid w:val="00CE483A"/>
    <w:rsid w:val="00CE72FB"/>
    <w:rsid w:val="00CE74BD"/>
    <w:rsid w:val="00CF4EEE"/>
    <w:rsid w:val="00CF50A6"/>
    <w:rsid w:val="00CF6E8F"/>
    <w:rsid w:val="00D01079"/>
    <w:rsid w:val="00D0136B"/>
    <w:rsid w:val="00D016FB"/>
    <w:rsid w:val="00D0615E"/>
    <w:rsid w:val="00D107C8"/>
    <w:rsid w:val="00D128AA"/>
    <w:rsid w:val="00D13EAF"/>
    <w:rsid w:val="00D15E83"/>
    <w:rsid w:val="00D164F1"/>
    <w:rsid w:val="00D17685"/>
    <w:rsid w:val="00D23421"/>
    <w:rsid w:val="00D2383D"/>
    <w:rsid w:val="00D259E4"/>
    <w:rsid w:val="00D25A58"/>
    <w:rsid w:val="00D26585"/>
    <w:rsid w:val="00D268E7"/>
    <w:rsid w:val="00D26C8F"/>
    <w:rsid w:val="00D26FD5"/>
    <w:rsid w:val="00D272C2"/>
    <w:rsid w:val="00D328B0"/>
    <w:rsid w:val="00D32B15"/>
    <w:rsid w:val="00D34E6F"/>
    <w:rsid w:val="00D37F5A"/>
    <w:rsid w:val="00D40A36"/>
    <w:rsid w:val="00D43A3F"/>
    <w:rsid w:val="00D47111"/>
    <w:rsid w:val="00D50194"/>
    <w:rsid w:val="00D50209"/>
    <w:rsid w:val="00D53689"/>
    <w:rsid w:val="00D54290"/>
    <w:rsid w:val="00D54AD7"/>
    <w:rsid w:val="00D562B4"/>
    <w:rsid w:val="00D57398"/>
    <w:rsid w:val="00D6189F"/>
    <w:rsid w:val="00D636F4"/>
    <w:rsid w:val="00D64567"/>
    <w:rsid w:val="00D648CE"/>
    <w:rsid w:val="00D6518B"/>
    <w:rsid w:val="00D66173"/>
    <w:rsid w:val="00D66A2B"/>
    <w:rsid w:val="00D753AF"/>
    <w:rsid w:val="00D80ADA"/>
    <w:rsid w:val="00D811E5"/>
    <w:rsid w:val="00D8175C"/>
    <w:rsid w:val="00D81C71"/>
    <w:rsid w:val="00D83099"/>
    <w:rsid w:val="00D853E2"/>
    <w:rsid w:val="00D85873"/>
    <w:rsid w:val="00D85D88"/>
    <w:rsid w:val="00D90BD2"/>
    <w:rsid w:val="00D90C45"/>
    <w:rsid w:val="00D9201E"/>
    <w:rsid w:val="00D94A29"/>
    <w:rsid w:val="00D97ADE"/>
    <w:rsid w:val="00DA0ACF"/>
    <w:rsid w:val="00DA2A65"/>
    <w:rsid w:val="00DA659D"/>
    <w:rsid w:val="00DA75DB"/>
    <w:rsid w:val="00DB0D41"/>
    <w:rsid w:val="00DB3070"/>
    <w:rsid w:val="00DB37E4"/>
    <w:rsid w:val="00DB41F6"/>
    <w:rsid w:val="00DB4312"/>
    <w:rsid w:val="00DB43AF"/>
    <w:rsid w:val="00DB6735"/>
    <w:rsid w:val="00DC095B"/>
    <w:rsid w:val="00DC3AC7"/>
    <w:rsid w:val="00DC5FCF"/>
    <w:rsid w:val="00DC618A"/>
    <w:rsid w:val="00DD05E4"/>
    <w:rsid w:val="00DD0909"/>
    <w:rsid w:val="00DD2B8A"/>
    <w:rsid w:val="00DD451D"/>
    <w:rsid w:val="00DD4A76"/>
    <w:rsid w:val="00DD7575"/>
    <w:rsid w:val="00DD7721"/>
    <w:rsid w:val="00DD7854"/>
    <w:rsid w:val="00DE0A2E"/>
    <w:rsid w:val="00DE0E68"/>
    <w:rsid w:val="00DE203B"/>
    <w:rsid w:val="00DE40AB"/>
    <w:rsid w:val="00DE43FB"/>
    <w:rsid w:val="00DE47CD"/>
    <w:rsid w:val="00DE5A38"/>
    <w:rsid w:val="00DE6AE7"/>
    <w:rsid w:val="00DE6C8B"/>
    <w:rsid w:val="00DF06CF"/>
    <w:rsid w:val="00DF0E88"/>
    <w:rsid w:val="00DF43E6"/>
    <w:rsid w:val="00DF47A5"/>
    <w:rsid w:val="00DF4885"/>
    <w:rsid w:val="00DF6742"/>
    <w:rsid w:val="00DF7B4B"/>
    <w:rsid w:val="00E005FF"/>
    <w:rsid w:val="00E019E9"/>
    <w:rsid w:val="00E02FFE"/>
    <w:rsid w:val="00E034F5"/>
    <w:rsid w:val="00E03A83"/>
    <w:rsid w:val="00E06D4D"/>
    <w:rsid w:val="00E10815"/>
    <w:rsid w:val="00E11236"/>
    <w:rsid w:val="00E117E7"/>
    <w:rsid w:val="00E11881"/>
    <w:rsid w:val="00E13505"/>
    <w:rsid w:val="00E137CF"/>
    <w:rsid w:val="00E20C9E"/>
    <w:rsid w:val="00E21017"/>
    <w:rsid w:val="00E2354F"/>
    <w:rsid w:val="00E26125"/>
    <w:rsid w:val="00E27982"/>
    <w:rsid w:val="00E30919"/>
    <w:rsid w:val="00E30E50"/>
    <w:rsid w:val="00E30EB9"/>
    <w:rsid w:val="00E31988"/>
    <w:rsid w:val="00E31BFA"/>
    <w:rsid w:val="00E3298D"/>
    <w:rsid w:val="00E3360C"/>
    <w:rsid w:val="00E4015A"/>
    <w:rsid w:val="00E42043"/>
    <w:rsid w:val="00E4276B"/>
    <w:rsid w:val="00E43189"/>
    <w:rsid w:val="00E4346C"/>
    <w:rsid w:val="00E43778"/>
    <w:rsid w:val="00E44016"/>
    <w:rsid w:val="00E44059"/>
    <w:rsid w:val="00E45CA5"/>
    <w:rsid w:val="00E4617B"/>
    <w:rsid w:val="00E51CE8"/>
    <w:rsid w:val="00E51DA0"/>
    <w:rsid w:val="00E529B5"/>
    <w:rsid w:val="00E53E30"/>
    <w:rsid w:val="00E56C32"/>
    <w:rsid w:val="00E56EF9"/>
    <w:rsid w:val="00E57217"/>
    <w:rsid w:val="00E60317"/>
    <w:rsid w:val="00E606D9"/>
    <w:rsid w:val="00E60EA6"/>
    <w:rsid w:val="00E63223"/>
    <w:rsid w:val="00E637BD"/>
    <w:rsid w:val="00E65424"/>
    <w:rsid w:val="00E713CC"/>
    <w:rsid w:val="00E728CA"/>
    <w:rsid w:val="00E72D24"/>
    <w:rsid w:val="00E7384F"/>
    <w:rsid w:val="00E754C0"/>
    <w:rsid w:val="00E80AA1"/>
    <w:rsid w:val="00E80F6B"/>
    <w:rsid w:val="00E80F92"/>
    <w:rsid w:val="00E8147D"/>
    <w:rsid w:val="00E82E8D"/>
    <w:rsid w:val="00E82ECF"/>
    <w:rsid w:val="00E83B9E"/>
    <w:rsid w:val="00E8659A"/>
    <w:rsid w:val="00E914B5"/>
    <w:rsid w:val="00E915BC"/>
    <w:rsid w:val="00E917A5"/>
    <w:rsid w:val="00E926FF"/>
    <w:rsid w:val="00E94EEF"/>
    <w:rsid w:val="00E94F22"/>
    <w:rsid w:val="00E95135"/>
    <w:rsid w:val="00E95495"/>
    <w:rsid w:val="00EA0ECA"/>
    <w:rsid w:val="00EA4597"/>
    <w:rsid w:val="00EA5627"/>
    <w:rsid w:val="00EA5810"/>
    <w:rsid w:val="00EA6154"/>
    <w:rsid w:val="00EA6337"/>
    <w:rsid w:val="00EA6F21"/>
    <w:rsid w:val="00EA7ABF"/>
    <w:rsid w:val="00EB0DEE"/>
    <w:rsid w:val="00EB2B83"/>
    <w:rsid w:val="00EB3A65"/>
    <w:rsid w:val="00EB48CF"/>
    <w:rsid w:val="00EB7A81"/>
    <w:rsid w:val="00EB7F9E"/>
    <w:rsid w:val="00EC3E2C"/>
    <w:rsid w:val="00EC454C"/>
    <w:rsid w:val="00EC4C97"/>
    <w:rsid w:val="00EC6E8A"/>
    <w:rsid w:val="00ED1C1D"/>
    <w:rsid w:val="00ED4C85"/>
    <w:rsid w:val="00ED6A19"/>
    <w:rsid w:val="00ED6DBF"/>
    <w:rsid w:val="00ED7C3A"/>
    <w:rsid w:val="00EE161B"/>
    <w:rsid w:val="00EE1772"/>
    <w:rsid w:val="00EE2953"/>
    <w:rsid w:val="00EE4422"/>
    <w:rsid w:val="00EE44EB"/>
    <w:rsid w:val="00EF06F6"/>
    <w:rsid w:val="00EF4BA3"/>
    <w:rsid w:val="00F01CF4"/>
    <w:rsid w:val="00F03DB7"/>
    <w:rsid w:val="00F03EFE"/>
    <w:rsid w:val="00F04B65"/>
    <w:rsid w:val="00F05DF9"/>
    <w:rsid w:val="00F06817"/>
    <w:rsid w:val="00F0725E"/>
    <w:rsid w:val="00F07E75"/>
    <w:rsid w:val="00F112FD"/>
    <w:rsid w:val="00F11BDE"/>
    <w:rsid w:val="00F135E4"/>
    <w:rsid w:val="00F13E99"/>
    <w:rsid w:val="00F1422C"/>
    <w:rsid w:val="00F149C2"/>
    <w:rsid w:val="00F1529C"/>
    <w:rsid w:val="00F16633"/>
    <w:rsid w:val="00F16CF5"/>
    <w:rsid w:val="00F20490"/>
    <w:rsid w:val="00F205B3"/>
    <w:rsid w:val="00F2089B"/>
    <w:rsid w:val="00F22555"/>
    <w:rsid w:val="00F23A59"/>
    <w:rsid w:val="00F24EAF"/>
    <w:rsid w:val="00F256C3"/>
    <w:rsid w:val="00F269B4"/>
    <w:rsid w:val="00F313A0"/>
    <w:rsid w:val="00F3187B"/>
    <w:rsid w:val="00F31E3F"/>
    <w:rsid w:val="00F324C5"/>
    <w:rsid w:val="00F328DC"/>
    <w:rsid w:val="00F341A2"/>
    <w:rsid w:val="00F3495C"/>
    <w:rsid w:val="00F35254"/>
    <w:rsid w:val="00F35EA2"/>
    <w:rsid w:val="00F36363"/>
    <w:rsid w:val="00F43FCB"/>
    <w:rsid w:val="00F46274"/>
    <w:rsid w:val="00F464F8"/>
    <w:rsid w:val="00F46976"/>
    <w:rsid w:val="00F47DCC"/>
    <w:rsid w:val="00F50B88"/>
    <w:rsid w:val="00F512E7"/>
    <w:rsid w:val="00F51332"/>
    <w:rsid w:val="00F5145C"/>
    <w:rsid w:val="00F52CB0"/>
    <w:rsid w:val="00F54D6E"/>
    <w:rsid w:val="00F54FC9"/>
    <w:rsid w:val="00F56083"/>
    <w:rsid w:val="00F56FD3"/>
    <w:rsid w:val="00F5702C"/>
    <w:rsid w:val="00F57A25"/>
    <w:rsid w:val="00F602F8"/>
    <w:rsid w:val="00F604D0"/>
    <w:rsid w:val="00F60C7D"/>
    <w:rsid w:val="00F63417"/>
    <w:rsid w:val="00F647B6"/>
    <w:rsid w:val="00F65310"/>
    <w:rsid w:val="00F659B7"/>
    <w:rsid w:val="00F66343"/>
    <w:rsid w:val="00F7002C"/>
    <w:rsid w:val="00F70FA9"/>
    <w:rsid w:val="00F713E8"/>
    <w:rsid w:val="00F721B9"/>
    <w:rsid w:val="00F737AF"/>
    <w:rsid w:val="00F73EA3"/>
    <w:rsid w:val="00F751D8"/>
    <w:rsid w:val="00F77E24"/>
    <w:rsid w:val="00F8383C"/>
    <w:rsid w:val="00F850AC"/>
    <w:rsid w:val="00F85157"/>
    <w:rsid w:val="00F858EA"/>
    <w:rsid w:val="00F85F0A"/>
    <w:rsid w:val="00F86009"/>
    <w:rsid w:val="00F86173"/>
    <w:rsid w:val="00F86FAD"/>
    <w:rsid w:val="00F904F7"/>
    <w:rsid w:val="00F90542"/>
    <w:rsid w:val="00F93261"/>
    <w:rsid w:val="00F9383D"/>
    <w:rsid w:val="00F94126"/>
    <w:rsid w:val="00F9433E"/>
    <w:rsid w:val="00F9491F"/>
    <w:rsid w:val="00F94993"/>
    <w:rsid w:val="00F97252"/>
    <w:rsid w:val="00F9772E"/>
    <w:rsid w:val="00F97903"/>
    <w:rsid w:val="00F97D53"/>
    <w:rsid w:val="00FA1739"/>
    <w:rsid w:val="00FA18D7"/>
    <w:rsid w:val="00FA39F5"/>
    <w:rsid w:val="00FA48B3"/>
    <w:rsid w:val="00FA4932"/>
    <w:rsid w:val="00FA6594"/>
    <w:rsid w:val="00FB1336"/>
    <w:rsid w:val="00FB15BF"/>
    <w:rsid w:val="00FB307B"/>
    <w:rsid w:val="00FB42B2"/>
    <w:rsid w:val="00FB4353"/>
    <w:rsid w:val="00FB4BB3"/>
    <w:rsid w:val="00FB7811"/>
    <w:rsid w:val="00FC1496"/>
    <w:rsid w:val="00FC3E32"/>
    <w:rsid w:val="00FC50F2"/>
    <w:rsid w:val="00FC51DB"/>
    <w:rsid w:val="00FC5F97"/>
    <w:rsid w:val="00FC7E8B"/>
    <w:rsid w:val="00FD009B"/>
    <w:rsid w:val="00FD059D"/>
    <w:rsid w:val="00FD28B6"/>
    <w:rsid w:val="00FD2E9F"/>
    <w:rsid w:val="00FD3192"/>
    <w:rsid w:val="00FD70CF"/>
    <w:rsid w:val="00FE15DA"/>
    <w:rsid w:val="00FE2C06"/>
    <w:rsid w:val="00FE3704"/>
    <w:rsid w:val="00FE5097"/>
    <w:rsid w:val="00FF160A"/>
    <w:rsid w:val="00FF3898"/>
    <w:rsid w:val="00FF4A87"/>
    <w:rsid w:val="00FF5142"/>
    <w:rsid w:val="00FF525B"/>
    <w:rsid w:val="00FF7CA5"/>
    <w:rsid w:val="016887AC"/>
    <w:rsid w:val="03084859"/>
    <w:rsid w:val="046CDC7F"/>
    <w:rsid w:val="07B19A0C"/>
    <w:rsid w:val="09E10F1A"/>
    <w:rsid w:val="0F76B801"/>
    <w:rsid w:val="11A5A4B7"/>
    <w:rsid w:val="12C1D2F3"/>
    <w:rsid w:val="12E7B082"/>
    <w:rsid w:val="13045C46"/>
    <w:rsid w:val="13726BC6"/>
    <w:rsid w:val="139B4AA0"/>
    <w:rsid w:val="18B4C887"/>
    <w:rsid w:val="18FDBCB3"/>
    <w:rsid w:val="1B0BA088"/>
    <w:rsid w:val="1CE17668"/>
    <w:rsid w:val="1EA660F5"/>
    <w:rsid w:val="1F4C756F"/>
    <w:rsid w:val="1F832BFC"/>
    <w:rsid w:val="1FF6CC98"/>
    <w:rsid w:val="206FBD69"/>
    <w:rsid w:val="23897CFB"/>
    <w:rsid w:val="25AFB5FE"/>
    <w:rsid w:val="2603D8A0"/>
    <w:rsid w:val="28C03FEE"/>
    <w:rsid w:val="2C375C91"/>
    <w:rsid w:val="2D1D79BD"/>
    <w:rsid w:val="2D647F38"/>
    <w:rsid w:val="32D8838C"/>
    <w:rsid w:val="3326B006"/>
    <w:rsid w:val="3380B9B2"/>
    <w:rsid w:val="35DED8B1"/>
    <w:rsid w:val="360273D8"/>
    <w:rsid w:val="3AE690FB"/>
    <w:rsid w:val="3AFAB449"/>
    <w:rsid w:val="3C022F21"/>
    <w:rsid w:val="3F4FEDA2"/>
    <w:rsid w:val="40108618"/>
    <w:rsid w:val="47090D5C"/>
    <w:rsid w:val="47CF7C81"/>
    <w:rsid w:val="497358DF"/>
    <w:rsid w:val="4A2C76E5"/>
    <w:rsid w:val="4BAE15B7"/>
    <w:rsid w:val="4E493B63"/>
    <w:rsid w:val="4E743F2C"/>
    <w:rsid w:val="4F1C9AA7"/>
    <w:rsid w:val="520FEC3B"/>
    <w:rsid w:val="5600D1B2"/>
    <w:rsid w:val="56A9E513"/>
    <w:rsid w:val="5825E8F6"/>
    <w:rsid w:val="590A4DC6"/>
    <w:rsid w:val="5999CC23"/>
    <w:rsid w:val="59EEF89F"/>
    <w:rsid w:val="5AB20A92"/>
    <w:rsid w:val="5B470007"/>
    <w:rsid w:val="5EBAC873"/>
    <w:rsid w:val="5EC5A7F5"/>
    <w:rsid w:val="60342804"/>
    <w:rsid w:val="6072010E"/>
    <w:rsid w:val="621386A8"/>
    <w:rsid w:val="64D10F60"/>
    <w:rsid w:val="66584FBF"/>
    <w:rsid w:val="672E900E"/>
    <w:rsid w:val="69758E93"/>
    <w:rsid w:val="69D00EF1"/>
    <w:rsid w:val="6B15C2E2"/>
    <w:rsid w:val="6C732D07"/>
    <w:rsid w:val="70137600"/>
    <w:rsid w:val="727D37AB"/>
    <w:rsid w:val="74D5B111"/>
    <w:rsid w:val="776EA2E0"/>
    <w:rsid w:val="7B5B9D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B4B14"/>
  <w15:docId w15:val="{122848E9-71BC-4E62-B7DB-929F0084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BBE"/>
    <w:rPr>
      <w:sz w:val="24"/>
      <w:szCs w:val="24"/>
      <w:lang w:eastAsia="en-US"/>
    </w:rPr>
  </w:style>
  <w:style w:type="paragraph" w:styleId="Heading1">
    <w:name w:val="heading 1"/>
    <w:basedOn w:val="Normal"/>
    <w:qFormat/>
    <w:rsid w:val="00115142"/>
    <w:pPr>
      <w:spacing w:before="100" w:beforeAutospacing="1" w:after="100" w:afterAutospacing="1"/>
      <w:outlineLvl w:val="0"/>
    </w:pPr>
    <w:rPr>
      <w:b/>
      <w:bCs/>
      <w:kern w:val="36"/>
      <w:sz w:val="48"/>
      <w:szCs w:val="48"/>
    </w:rPr>
  </w:style>
  <w:style w:type="paragraph" w:styleId="Heading2">
    <w:name w:val="heading 2"/>
    <w:basedOn w:val="Normal"/>
    <w:qFormat/>
    <w:rsid w:val="0011514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F4DF1"/>
    <w:pPr>
      <w:tabs>
        <w:tab w:val="center" w:pos="4320"/>
        <w:tab w:val="right" w:pos="8640"/>
      </w:tabs>
    </w:pPr>
  </w:style>
  <w:style w:type="paragraph" w:styleId="Footer">
    <w:name w:val="footer"/>
    <w:basedOn w:val="Normal"/>
    <w:rsid w:val="003F4DF1"/>
    <w:pPr>
      <w:tabs>
        <w:tab w:val="center" w:pos="4320"/>
        <w:tab w:val="right" w:pos="8640"/>
      </w:tabs>
    </w:pPr>
  </w:style>
  <w:style w:type="table" w:styleId="TableGrid">
    <w:name w:val="Table Grid"/>
    <w:basedOn w:val="TableNormal"/>
    <w:rsid w:val="003F4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02A65"/>
    <w:rPr>
      <w:rFonts w:ascii="Tahoma" w:hAnsi="Tahoma" w:cs="Tahoma"/>
      <w:sz w:val="16"/>
      <w:szCs w:val="16"/>
    </w:rPr>
  </w:style>
  <w:style w:type="paragraph" w:customStyle="1" w:styleId="normal2">
    <w:name w:val="normal2"/>
    <w:basedOn w:val="Normal"/>
    <w:rsid w:val="00115142"/>
    <w:pPr>
      <w:spacing w:before="100" w:beforeAutospacing="1" w:after="100" w:afterAutospacing="1"/>
    </w:pPr>
  </w:style>
  <w:style w:type="paragraph" w:customStyle="1" w:styleId="bcxbullet-alphabetical2">
    <w:name w:val="bcxbullet-alphabetical2"/>
    <w:basedOn w:val="Normal"/>
    <w:rsid w:val="00115142"/>
    <w:pPr>
      <w:spacing w:before="100" w:beforeAutospacing="1" w:after="100" w:afterAutospacing="1"/>
    </w:pPr>
  </w:style>
  <w:style w:type="paragraph" w:styleId="ListParagraph">
    <w:name w:val="List Paragraph"/>
    <w:basedOn w:val="Normal"/>
    <w:uiPriority w:val="34"/>
    <w:qFormat/>
    <w:rsid w:val="00B4129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E6F88C8D84EB41BB829E026149D504" ma:contentTypeVersion="1" ma:contentTypeDescription="Create a new document." ma:contentTypeScope="" ma:versionID="956b5c4b22e575f3bee87007442284ee">
  <xsd:schema xmlns:xsd="http://www.w3.org/2001/XMLSchema" xmlns:xs="http://www.w3.org/2001/XMLSchema" xmlns:p="http://schemas.microsoft.com/office/2006/metadata/properties" xmlns:ns2="C7E0A62C-18D7-42AB-B287-3BF94DABF493" xmlns:ns3="8d94584b-102b-4cf6-9416-321927e1d3b6" xmlns:ns4="857036bf-352d-4a89-9a7b-cf3267278b3d" xmlns:ns5="c7e0a62c-18d7-42ab-b287-3bf94dabf493" targetNamespace="http://schemas.microsoft.com/office/2006/metadata/properties" ma:root="true" ma:fieldsID="49bf8a6360b545be7150b2e718990e9d" ns2:_="" ns3:_="" ns4:_="" ns5:_="">
    <xsd:import namespace="C7E0A62C-18D7-42AB-B287-3BF94DABF493"/>
    <xsd:import namespace="8d94584b-102b-4cf6-9416-321927e1d3b6"/>
    <xsd:import namespace="857036bf-352d-4a89-9a7b-cf3267278b3d"/>
    <xsd:import namespace="c7e0a62c-18d7-42ab-b287-3bf94dabf4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4:SharedWithDetails" minOccurs="0"/>
                <xsd:element ref="ns2:MediaServiceAutoTags" minOccurs="0"/>
                <xsd:element ref="ns2:MediaServiceOCR" minOccurs="0"/>
                <xsd:element ref="ns2:MediaServiceGenerationTime" minOccurs="0"/>
                <xsd:element ref="ns2:MediaServiceEventHashCode"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0A62C-18D7-42AB-B287-3BF94DAB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94584b-102b-4cf6-9416-321927e1d3b6"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7036bf-352d-4a89-9a7b-cf3267278b3d" elementFormDefault="qualified">
    <xsd:import namespace="http://schemas.microsoft.com/office/2006/documentManagement/types"/>
    <xsd:import namespace="http://schemas.microsoft.com/office/infopath/2007/PartnerControls"/>
    <xsd:element name="SharedWithDetails" ma:index="1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0a62c-18d7-42ab-b287-3bf94dabf493"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BDA6D5-9C29-4DB2-A074-C8AF1CF102A9}">
  <ds:schemaRefs>
    <ds:schemaRef ds:uri="http://schemas.microsoft.com/sharepoint/v3/contenttype/forms"/>
  </ds:schemaRefs>
</ds:datastoreItem>
</file>

<file path=customXml/itemProps2.xml><?xml version="1.0" encoding="utf-8"?>
<ds:datastoreItem xmlns:ds="http://schemas.openxmlformats.org/officeDocument/2006/customXml" ds:itemID="{C0A504E3-3236-4404-9378-DF3BCB384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0A62C-18D7-42AB-B287-3BF94DABF493"/>
    <ds:schemaRef ds:uri="8d94584b-102b-4cf6-9416-321927e1d3b6"/>
    <ds:schemaRef ds:uri="857036bf-352d-4a89-9a7b-cf3267278b3d"/>
    <ds:schemaRef ds:uri="c7e0a62c-18d7-42ab-b287-3bf94dab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A43CE8-9FC4-479B-B808-831F227D076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5072002-a2e1-43ef-b310-49224fc9f3a2}" enabled="1" method="Standard" siteId="{32acc968-ee0c-4a4b-a2a2-f578609a3785}" removed="0"/>
  <clbl:label id="{ebe5001a-c85e-4e2f-9cd6-9a1218bff449}" enabled="1" method="Standard" siteId="{d0f2a9be-e6ce-4ffa-9b31-5677cb305c5e}"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3054</Words>
  <Characters>17409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M I N U T E S</vt:lpstr>
    </vt:vector>
  </TitlesOfParts>
  <Company>BCX</Company>
  <LinksUpToDate>false</LinksUpToDate>
  <CharactersWithSpaces>20423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dc:title>
  <dc:subject/>
  <dc:creator>Thuto Mapohoshe</dc:creator>
  <cp:keywords/>
  <cp:lastModifiedBy>Kabelo Phalane</cp:lastModifiedBy>
  <cp:revision>2</cp:revision>
  <cp:lastPrinted>2009-10-27T13:20:00Z</cp:lastPrinted>
  <dcterms:created xsi:type="dcterms:W3CDTF">2026-09-29T13:42:00Z</dcterms:created>
  <dcterms:modified xsi:type="dcterms:W3CDTF">2026-09-29T13:42:00Z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0x0101008CE6F88C8D84EB41BB829E026149D504</vt:lpwstr>
  </property>
  <property fmtid="{D5CDD505-2E9C-101B-9397-08002B2CF9AE}" pid="3" name="docLang">
    <vt:lpwstr>en</vt:lpwstr>
  </property>
</Properties>
</file>