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2ED0973"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7FDBE563" w14:textId="107DAF7A"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APPOINTMENT OF A SUITABLE SERVICE PROVIDER TO SUPPLY AND INSTALL 10KVA SOLAR POWER SYSTEM AT NHBRC ERIC MOLOBI LABORATORY IN SOSHANGUVE</w:t>
      </w:r>
      <w:r w:rsidR="00215C7B" w:rsidRPr="00215C7B">
        <w:rPr>
          <w:rFonts w:ascii="Arial Narrow" w:hAnsi="Arial Narrow" w:cs="Arial"/>
          <w:b/>
          <w:color w:val="000000" w:themeColor="text1"/>
          <w:sz w:val="32"/>
          <w:szCs w:val="32"/>
        </w:rPr>
        <w:t>,</w:t>
      </w:r>
      <w:r w:rsidR="00215C7B">
        <w:rPr>
          <w:rFonts w:ascii="Arial Narrow" w:hAnsi="Arial Narrow" w:cs="Arial"/>
          <w:b/>
          <w:color w:val="000000" w:themeColor="text1"/>
          <w:sz w:val="32"/>
          <w:szCs w:val="32"/>
        </w:rPr>
        <w:t xml:space="preserve"> </w:t>
      </w:r>
      <w:r w:rsidR="00215C7B" w:rsidRPr="00215C7B">
        <w:rPr>
          <w:rFonts w:ascii="Arial Narrow" w:hAnsi="Arial Narrow" w:cs="Arial"/>
          <w:b/>
          <w:color w:val="000000" w:themeColor="text1"/>
          <w:sz w:val="32"/>
          <w:szCs w:val="32"/>
        </w:rPr>
        <w:t>GAUTENG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690358">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690358">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690358">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690358">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690358">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690358">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690358">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690358">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690358">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690358">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690358">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690358">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690358">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690358">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690358">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690358">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17C4788"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t</w:t>
      </w:r>
      <w:r w:rsidR="0005442A" w:rsidRPr="0005442A">
        <w:rPr>
          <w:rFonts w:ascii="Arial Narrow" w:hAnsi="Arial Narrow" w:cs="Arial"/>
          <w:sz w:val="22"/>
          <w:szCs w:val="22"/>
        </w:rPr>
        <w:t xml:space="preserve">o Supply </w:t>
      </w:r>
      <w:r w:rsidR="0005442A">
        <w:rPr>
          <w:rFonts w:ascii="Arial Narrow" w:hAnsi="Arial Narrow" w:cs="Arial"/>
          <w:sz w:val="22"/>
          <w:szCs w:val="22"/>
        </w:rPr>
        <w:t>a</w:t>
      </w:r>
      <w:r w:rsidR="0005442A" w:rsidRPr="0005442A">
        <w:rPr>
          <w:rFonts w:ascii="Arial Narrow" w:hAnsi="Arial Narrow" w:cs="Arial"/>
          <w:sz w:val="22"/>
          <w:szCs w:val="22"/>
        </w:rPr>
        <w:t xml:space="preserve">nd Install 10kva Solar Power System </w:t>
      </w:r>
      <w:r w:rsidR="0005442A">
        <w:rPr>
          <w:rFonts w:ascii="Arial Narrow" w:hAnsi="Arial Narrow" w:cs="Arial"/>
          <w:sz w:val="22"/>
          <w:szCs w:val="22"/>
        </w:rPr>
        <w:t>a</w:t>
      </w:r>
      <w:r w:rsidR="0005442A" w:rsidRPr="0005442A">
        <w:rPr>
          <w:rFonts w:ascii="Arial Narrow" w:hAnsi="Arial Narrow" w:cs="Arial"/>
          <w:sz w:val="22"/>
          <w:szCs w:val="22"/>
        </w:rPr>
        <w:t xml:space="preserve">t NHBRC Eric Molobi Laboratory </w:t>
      </w:r>
      <w:r w:rsidR="0005442A">
        <w:rPr>
          <w:rFonts w:ascii="Arial Narrow" w:hAnsi="Arial Narrow" w:cs="Arial"/>
          <w:sz w:val="22"/>
          <w:szCs w:val="22"/>
        </w:rPr>
        <w:t>i</w:t>
      </w:r>
      <w:r w:rsidR="0005442A" w:rsidRPr="0005442A">
        <w:rPr>
          <w:rFonts w:ascii="Arial Narrow" w:hAnsi="Arial Narrow" w:cs="Arial"/>
          <w:sz w:val="22"/>
          <w:szCs w:val="22"/>
        </w:rPr>
        <w:t>n Soshanguve</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8F192A" w:rsidRPr="008F192A">
        <w:rPr>
          <w:rFonts w:ascii="Arial Narrow" w:hAnsi="Arial Narrow" w:cs="Arial"/>
          <w:sz w:val="22"/>
          <w:szCs w:val="22"/>
        </w:rPr>
        <w:t>Gauteng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C2D1C4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EP</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7DAC6D0"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374E85">
        <w:rPr>
          <w:rFonts w:ascii="Arial Narrow" w:hAnsi="Arial Narrow"/>
          <w:color w:val="FF0000"/>
          <w:sz w:val="22"/>
          <w:szCs w:val="22"/>
          <w:highlight w:val="yellow"/>
        </w:rPr>
        <w:t>05</w:t>
      </w:r>
      <w:r w:rsidR="00AF3123">
        <w:rPr>
          <w:rFonts w:ascii="Arial Narrow" w:hAnsi="Arial Narrow"/>
          <w:color w:val="FF0000"/>
          <w:sz w:val="22"/>
          <w:szCs w:val="22"/>
          <w:highlight w:val="yellow"/>
        </w:rPr>
        <w:t xml:space="preserve"> </w:t>
      </w:r>
      <w:r w:rsidR="00374E85">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F056ED7" w:rsidR="00AB3448" w:rsidRPr="007474C1" w:rsidRDefault="00374E85" w:rsidP="00E05878">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Mr. Kgosi Mashaba at </w:t>
      </w:r>
      <w:r w:rsidRPr="00374E85">
        <w:rPr>
          <w:rFonts w:ascii="Arial Narrow" w:hAnsi="Arial Narrow"/>
          <w:color w:val="FF0000"/>
          <w:sz w:val="22"/>
          <w:szCs w:val="22"/>
        </w:rPr>
        <w:t>082 969 5515</w:t>
      </w:r>
      <w:r>
        <w:rPr>
          <w:rFonts w:ascii="Arial Narrow" w:hAnsi="Arial Narrow"/>
          <w:color w:val="FF0000"/>
          <w:sz w:val="22"/>
          <w:szCs w:val="22"/>
        </w:rPr>
        <w:t xml:space="preserve"> or </w:t>
      </w:r>
      <w:hyperlink r:id="rId14" w:history="1">
        <w:r w:rsidRPr="004F2630">
          <w:rPr>
            <w:rStyle w:val="Hyperlink"/>
            <w:rFonts w:ascii="Arial Narrow" w:hAnsi="Arial Narrow"/>
            <w:sz w:val="22"/>
            <w:szCs w:val="22"/>
          </w:rPr>
          <w:t>KgosiM@nhbrc.org.za</w:t>
        </w:r>
      </w:hyperlink>
      <w:r>
        <w:rPr>
          <w:rFonts w:ascii="Arial Narrow" w:hAnsi="Arial Narrow"/>
          <w:color w:val="FF0000"/>
          <w:sz w:val="22"/>
          <w:szCs w:val="22"/>
        </w:rPr>
        <w:t>. The address of the site is</w:t>
      </w:r>
      <w:r w:rsidR="00A84E10" w:rsidRPr="007474C1">
        <w:rPr>
          <w:rFonts w:ascii="Arial Narrow" w:hAnsi="Arial Narrow"/>
          <w:color w:val="FF0000"/>
          <w:sz w:val="22"/>
          <w:szCs w:val="22"/>
        </w:rPr>
        <w:t xml:space="preserve"> </w:t>
      </w:r>
      <w:r w:rsidR="00E05878" w:rsidRPr="00E05878">
        <w:rPr>
          <w:rFonts w:ascii="Arial Narrow" w:hAnsi="Arial Narrow"/>
          <w:color w:val="FF0000"/>
          <w:sz w:val="22"/>
          <w:szCs w:val="22"/>
        </w:rPr>
        <w:t>NHBRC Eric Molobi Offices, 1618 Juventos Street, Block</w:t>
      </w:r>
      <w:r w:rsidR="00E05878">
        <w:rPr>
          <w:rFonts w:ascii="Arial Narrow" w:hAnsi="Arial Narrow"/>
          <w:color w:val="FF0000"/>
          <w:sz w:val="22"/>
          <w:szCs w:val="22"/>
        </w:rPr>
        <w:t xml:space="preserve"> </w:t>
      </w:r>
      <w:r w:rsidR="00E05878" w:rsidRPr="00E05878">
        <w:rPr>
          <w:rFonts w:ascii="Arial Narrow" w:hAnsi="Arial Narrow"/>
          <w:color w:val="FF0000"/>
          <w:sz w:val="22"/>
          <w:szCs w:val="22"/>
        </w:rPr>
        <w:t xml:space="preserve">XX, Soshanguve, </w:t>
      </w:r>
      <w:r w:rsidR="00E05878">
        <w:rPr>
          <w:rFonts w:ascii="Arial Narrow" w:hAnsi="Arial Narrow"/>
          <w:color w:val="FF0000"/>
          <w:sz w:val="22"/>
          <w:szCs w:val="22"/>
        </w:rPr>
        <w:t>Tshwane</w:t>
      </w:r>
      <w:r>
        <w:rPr>
          <w:rFonts w:ascii="Arial Narrow" w:hAnsi="Arial Narrow"/>
          <w:color w:val="FF0000"/>
          <w:sz w:val="22"/>
          <w:szCs w:val="22"/>
        </w:rPr>
        <w:t>.</w:t>
      </w:r>
      <w:r w:rsidR="00A84E10"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B015B82"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080DBA">
        <w:rPr>
          <w:rFonts w:ascii="Arial Narrow" w:hAnsi="Arial Narrow"/>
          <w:b/>
          <w:bCs/>
          <w:color w:val="auto"/>
          <w:sz w:val="22"/>
          <w:szCs w:val="22"/>
          <w:highlight w:val="yellow"/>
        </w:rPr>
        <w:t>FRI</w:t>
      </w:r>
      <w:r w:rsidR="005C2581" w:rsidRPr="005C2581">
        <w:rPr>
          <w:rFonts w:ascii="Arial Narrow" w:hAnsi="Arial Narrow"/>
          <w:b/>
          <w:bCs/>
          <w:color w:val="auto"/>
          <w:sz w:val="22"/>
          <w:szCs w:val="22"/>
          <w:highlight w:val="yellow"/>
        </w:rPr>
        <w:t xml:space="preserve">DAY, </w:t>
      </w:r>
      <w:r w:rsidR="00080DBA">
        <w:rPr>
          <w:rFonts w:ascii="Arial Narrow" w:hAnsi="Arial Narrow"/>
          <w:b/>
          <w:bCs/>
          <w:color w:val="auto"/>
          <w:sz w:val="22"/>
          <w:szCs w:val="22"/>
          <w:highlight w:val="yellow"/>
        </w:rPr>
        <w:t>23</w:t>
      </w:r>
      <w:r w:rsidR="005C2581" w:rsidRPr="005C2581">
        <w:rPr>
          <w:rFonts w:ascii="Arial Narrow" w:hAnsi="Arial Narrow"/>
          <w:b/>
          <w:bCs/>
          <w:color w:val="auto"/>
          <w:sz w:val="22"/>
          <w:szCs w:val="22"/>
          <w:highlight w:val="yellow"/>
        </w:rPr>
        <w:t xml:space="preserve"> </w:t>
      </w:r>
      <w:r w:rsidR="00080DBA">
        <w:rPr>
          <w:rFonts w:ascii="Arial Narrow" w:hAnsi="Arial Narrow"/>
          <w:b/>
          <w:bCs/>
          <w:color w:val="auto"/>
          <w:sz w:val="22"/>
          <w:szCs w:val="22"/>
          <w:highlight w:val="yellow"/>
        </w:rPr>
        <w:t>JUNE</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70CD8F79"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r w:rsidR="006A6B83">
        <w:rPr>
          <w:rFonts w:ascii="Arial Narrow" w:hAnsi="Arial Narrow"/>
          <w:bCs/>
          <w:color w:val="auto"/>
          <w:sz w:val="22"/>
          <w:szCs w:val="22"/>
        </w:rPr>
        <w:t xml:space="preserve">the tender box at the </w:t>
      </w:r>
      <w:r w:rsidR="00A01864" w:rsidRPr="00667623">
        <w:rPr>
          <w:rFonts w:ascii="Arial Narrow" w:hAnsi="Arial Narrow"/>
          <w:bCs/>
          <w:color w:val="auto"/>
          <w:sz w:val="22"/>
          <w:szCs w:val="22"/>
        </w:rPr>
        <w:t xml:space="preserve">relevant </w:t>
      </w:r>
      <w:r w:rsidR="006A6B83">
        <w:rPr>
          <w:rFonts w:ascii="Arial Narrow" w:hAnsi="Arial Narrow"/>
          <w:bCs/>
          <w:color w:val="auto"/>
          <w:sz w:val="22"/>
          <w:szCs w:val="22"/>
        </w:rPr>
        <w:t>Office address.</w:t>
      </w:r>
    </w:p>
    <w:p w14:paraId="3D0C4B25" w14:textId="67B0BDAC"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w:t>
      </w:r>
      <w:r w:rsidR="002B11FE">
        <w:rPr>
          <w:rFonts w:ascii="Arial Narrow" w:hAnsi="Arial Narrow"/>
          <w:color w:val="FF0000"/>
          <w:sz w:val="22"/>
          <w:szCs w:val="22"/>
          <w:highlight w:val="yellow"/>
        </w:rPr>
        <w:t>1</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2D1C0129"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w:t>
            </w:r>
            <w:r w:rsidR="00741D37">
              <w:rPr>
                <w:rFonts w:ascii="Arial Narrow" w:hAnsi="Arial Narrow"/>
                <w:b/>
                <w:snapToGrid w:val="0"/>
                <w:sz w:val="22"/>
                <w:szCs w:val="22"/>
              </w:rPr>
              <w:t>1</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59C3B21" w:rsidR="002032E9" w:rsidRPr="00A84E10" w:rsidRDefault="00741D3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23 JUNE</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31E8856B"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A13C06" w:rsidRPr="00A13C06">
              <w:rPr>
                <w:rFonts w:ascii="Arial Narrow" w:hAnsi="Arial Narrow" w:cs="Arial"/>
                <w:b/>
                <w:color w:val="FF0000"/>
                <w:sz w:val="22"/>
                <w:szCs w:val="22"/>
              </w:rPr>
              <w:t xml:space="preserve">to </w:t>
            </w:r>
            <w:r w:rsidR="00A13C06">
              <w:rPr>
                <w:rFonts w:ascii="Arial Narrow" w:hAnsi="Arial Narrow" w:cs="Arial"/>
                <w:b/>
                <w:color w:val="FF0000"/>
                <w:sz w:val="22"/>
                <w:szCs w:val="22"/>
              </w:rPr>
              <w:t>s</w:t>
            </w:r>
            <w:r w:rsidR="00A13C06" w:rsidRPr="00A13C06">
              <w:rPr>
                <w:rFonts w:ascii="Arial Narrow" w:hAnsi="Arial Narrow" w:cs="Arial"/>
                <w:b/>
                <w:color w:val="FF0000"/>
                <w:sz w:val="22"/>
                <w:szCs w:val="22"/>
              </w:rPr>
              <w:t xml:space="preserve">upply and </w:t>
            </w:r>
            <w:r w:rsidR="00A13C06">
              <w:rPr>
                <w:rFonts w:ascii="Arial Narrow" w:hAnsi="Arial Narrow" w:cs="Arial"/>
                <w:b/>
                <w:color w:val="FF0000"/>
                <w:sz w:val="22"/>
                <w:szCs w:val="22"/>
              </w:rPr>
              <w:t>i</w:t>
            </w:r>
            <w:r w:rsidR="00A13C06" w:rsidRPr="00A13C06">
              <w:rPr>
                <w:rFonts w:ascii="Arial Narrow" w:hAnsi="Arial Narrow" w:cs="Arial"/>
                <w:b/>
                <w:color w:val="FF0000"/>
                <w:sz w:val="22"/>
                <w:szCs w:val="22"/>
              </w:rPr>
              <w:t>nstall 10kva Solar Power System at NHBRC Eric Molobi Laboratory in Soshanguve</w:t>
            </w:r>
            <w:r w:rsidR="00EE4532" w:rsidRPr="00EE4532">
              <w:rPr>
                <w:rFonts w:ascii="Arial Narrow" w:hAnsi="Arial Narrow" w:cs="Arial"/>
                <w:b/>
                <w:color w:val="FF0000"/>
                <w:sz w:val="22"/>
                <w:szCs w:val="22"/>
              </w:rPr>
              <w:t xml:space="preserve">,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8679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8B35A4" w:rsidRPr="008B35A4">
              <w:rPr>
                <w:rFonts w:ascii="Arial Narrow" w:hAnsi="Arial Narrow"/>
                <w:snapToGrid w:val="0"/>
                <w:sz w:val="22"/>
                <w:szCs w:val="22"/>
              </w:rPr>
              <w:t>NHBRC ERIC MOLOBI OFFICES, 1618 JUVENTOS STREET, BLOCK XX, SOSHANGUVE, TSHWANE</w:t>
            </w:r>
            <w:r w:rsidR="006E0FFA">
              <w:rPr>
                <w:rFonts w:ascii="Arial Narrow" w:hAnsi="Arial Narrow"/>
                <w:snapToGrid w:val="0"/>
                <w:sz w:val="22"/>
                <w:szCs w:val="22"/>
              </w:rPr>
              <w:t>.</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176B0AA0" w:rsidR="002032E9" w:rsidRPr="007474C1" w:rsidRDefault="009E380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E380D">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3705D13F" w:rsidR="002032E9" w:rsidRPr="007474C1" w:rsidRDefault="008E679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E679B">
              <w:rPr>
                <w:rFonts w:ascii="Arial Narrow" w:hAnsi="Arial Narrow"/>
                <w:snapToGrid w:val="0"/>
                <w:color w:val="FF0000"/>
                <w:sz w:val="22"/>
                <w:szCs w:val="22"/>
              </w:rPr>
              <w:t>082 969 5515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15E343A" w:rsidR="002032E9" w:rsidRPr="007474C1" w:rsidRDefault="004D234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w:t>
            </w:r>
            <w:r w:rsidR="0060207D" w:rsidRPr="0060207D">
              <w:rPr>
                <w:rStyle w:val="Hyperlink"/>
                <w:rFonts w:ascii="Arial Narrow" w:hAnsi="Arial Narrow"/>
                <w:snapToGrid w:val="0"/>
                <w:sz w:val="22"/>
                <w:szCs w:val="22"/>
              </w:rPr>
              <w:t>M@nhbrc.org.za</w:t>
            </w:r>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69035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6"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0358">
              <w:rPr>
                <w:rFonts w:ascii="Arial Narrow" w:hAnsi="Arial Narrow"/>
                <w:snapToGrid w:val="0"/>
                <w:sz w:val="22"/>
                <w:szCs w:val="22"/>
              </w:rPr>
            </w:r>
            <w:r w:rsidR="00690358">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0580B77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w:t>
      </w:r>
      <w:r w:rsidR="003461FE">
        <w:rPr>
          <w:rFonts w:ascii="Arial Narrow" w:hAnsi="Arial Narrow"/>
          <w:bCs/>
          <w:szCs w:val="22"/>
          <w:lang w:val="en-ZA"/>
        </w:rPr>
        <w:t xml:space="preserve">and placed </w:t>
      </w:r>
      <w:r w:rsidRPr="00671587">
        <w:rPr>
          <w:rFonts w:ascii="Arial Narrow" w:hAnsi="Arial Narrow"/>
          <w:bCs/>
          <w:szCs w:val="22"/>
          <w:lang w:val="en-ZA"/>
        </w:rPr>
        <w:t xml:space="preserve">timeously </w:t>
      </w:r>
      <w:r w:rsidR="003461FE">
        <w:rPr>
          <w:rFonts w:ascii="Arial Narrow" w:hAnsi="Arial Narrow"/>
          <w:bCs/>
          <w:szCs w:val="22"/>
          <w:lang w:val="en-ZA"/>
        </w:rPr>
        <w:t>in</w:t>
      </w:r>
      <w:r w:rsidRPr="00671587">
        <w:rPr>
          <w:rFonts w:ascii="Arial Narrow" w:hAnsi="Arial Narrow"/>
          <w:bCs/>
          <w:szCs w:val="22"/>
          <w:lang w:val="en-ZA"/>
        </w:rPr>
        <w:t xml:space="preserve">to the </w:t>
      </w:r>
      <w:r w:rsidR="003461FE">
        <w:rPr>
          <w:rFonts w:ascii="Arial Narrow" w:hAnsi="Arial Narrow"/>
          <w:bCs/>
          <w:szCs w:val="22"/>
          <w:lang w:val="en-ZA"/>
        </w:rPr>
        <w:t xml:space="preserve">tender box at the </w:t>
      </w:r>
      <w:r w:rsidRPr="00671587">
        <w:rPr>
          <w:rFonts w:ascii="Arial Narrow" w:hAnsi="Arial Narrow"/>
          <w:bCs/>
          <w:szCs w:val="22"/>
          <w:lang w:val="en-ZA"/>
        </w:rPr>
        <w:t xml:space="preserve">correct </w:t>
      </w:r>
      <w:r w:rsidR="00246CC4">
        <w:rPr>
          <w:rFonts w:ascii="Arial Narrow" w:hAnsi="Arial Narrow"/>
          <w:bCs/>
          <w:szCs w:val="22"/>
          <w:lang w:val="en-ZA"/>
        </w:rPr>
        <w:t>office address</w:t>
      </w:r>
      <w:r w:rsidRPr="00671587">
        <w:rPr>
          <w:rFonts w:ascii="Arial Narrow" w:hAnsi="Arial Narrow"/>
          <w:bCs/>
          <w:szCs w:val="22"/>
          <w:lang w:val="en-ZA"/>
        </w:rPr>
        <w:t>. If the bid is late, it will not be accepted for consideration.</w:t>
      </w:r>
    </w:p>
    <w:p w14:paraId="7B4825A9" w14:textId="0AB2EF46" w:rsidR="000D7983" w:rsidRPr="00671587" w:rsidRDefault="00AF3714" w:rsidP="003461FE">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O</w:t>
      </w:r>
      <w:r w:rsidRPr="00AF3714">
        <w:rPr>
          <w:rFonts w:ascii="Arial Narrow" w:hAnsi="Arial Narrow"/>
          <w:bCs/>
          <w:color w:val="auto"/>
          <w:sz w:val="22"/>
          <w:szCs w:val="22"/>
        </w:rPr>
        <w:t xml:space="preserve">ffice address </w:t>
      </w:r>
      <w:r w:rsidR="00147FB4">
        <w:rPr>
          <w:rFonts w:ascii="Arial Narrow" w:hAnsi="Arial Narrow"/>
          <w:bCs/>
          <w:color w:val="auto"/>
          <w:sz w:val="22"/>
          <w:szCs w:val="22"/>
        </w:rPr>
        <w:t>for submission</w:t>
      </w:r>
      <w:r>
        <w:rPr>
          <w:rFonts w:ascii="Arial Narrow" w:hAnsi="Arial Narrow"/>
          <w:bCs/>
          <w:color w:val="auto"/>
          <w:sz w:val="22"/>
          <w:szCs w:val="22"/>
        </w:rPr>
        <w:t xml:space="preserve"> of responses</w:t>
      </w:r>
      <w:r w:rsidR="00147FB4">
        <w:rPr>
          <w:rFonts w:ascii="Arial Narrow" w:hAnsi="Arial Narrow"/>
          <w:bCs/>
          <w:color w:val="auto"/>
          <w:sz w:val="22"/>
          <w:szCs w:val="22"/>
        </w:rPr>
        <w:t xml:space="preserve"> </w:t>
      </w:r>
      <w:r w:rsidR="00246CC4">
        <w:rPr>
          <w:rFonts w:ascii="Arial Narrow" w:hAnsi="Arial Narrow"/>
          <w:bCs/>
          <w:color w:val="auto"/>
          <w:sz w:val="22"/>
          <w:szCs w:val="22"/>
        </w:rPr>
        <w:t xml:space="preserve">is </w:t>
      </w:r>
      <w:r w:rsidR="003461FE" w:rsidRPr="003461FE">
        <w:rPr>
          <w:rFonts w:ascii="Arial Narrow" w:hAnsi="Arial Narrow"/>
          <w:bCs/>
          <w:color w:val="auto"/>
          <w:sz w:val="22"/>
          <w:szCs w:val="22"/>
        </w:rPr>
        <w:t>NHBRC Eric Molobi Offices, 1618 Juventos Street, Block</w:t>
      </w:r>
      <w:r w:rsidR="00843EE0">
        <w:rPr>
          <w:rFonts w:ascii="Arial Narrow" w:hAnsi="Arial Narrow"/>
          <w:bCs/>
          <w:color w:val="auto"/>
          <w:sz w:val="22"/>
          <w:szCs w:val="22"/>
        </w:rPr>
        <w:t xml:space="preserve"> </w:t>
      </w:r>
      <w:r w:rsidR="003461FE" w:rsidRPr="003461FE">
        <w:rPr>
          <w:rFonts w:ascii="Arial Narrow" w:hAnsi="Arial Narrow"/>
          <w:bCs/>
          <w:color w:val="auto"/>
          <w:sz w:val="22"/>
          <w:szCs w:val="22"/>
        </w:rPr>
        <w:t xml:space="preserve">XX, Soshanguve, </w:t>
      </w:r>
      <w:r w:rsidR="003461FE">
        <w:rPr>
          <w:rFonts w:ascii="Arial Narrow" w:hAnsi="Arial Narrow"/>
          <w:bCs/>
          <w:color w:val="auto"/>
          <w:sz w:val="22"/>
          <w:szCs w:val="22"/>
        </w:rPr>
        <w:t>Tshwane</w:t>
      </w:r>
      <w:r w:rsidR="00246CC4">
        <w:rPr>
          <w:rFonts w:ascii="Arial Narrow" w:hAnsi="Arial Narrow"/>
          <w:bCs/>
          <w:color w:val="auto"/>
          <w:sz w:val="22"/>
          <w:szCs w:val="22"/>
        </w:rPr>
        <w:t xml:space="preserve">.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43FE4B7D"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E24A57" w:rsidRPr="00E24A57">
        <w:rPr>
          <w:rFonts w:ascii="Arial Narrow" w:hAnsi="Arial Narrow" w:cs="Arial"/>
          <w:color w:val="FF0000"/>
          <w:sz w:val="22"/>
          <w:szCs w:val="22"/>
        </w:rPr>
        <w:t xml:space="preserve">Mr. </w:t>
      </w:r>
      <w:r w:rsidR="00D7439D">
        <w:rPr>
          <w:rFonts w:ascii="Arial Narrow" w:hAnsi="Arial Narrow" w:cs="Arial"/>
          <w:color w:val="FF0000"/>
          <w:sz w:val="22"/>
          <w:szCs w:val="22"/>
        </w:rPr>
        <w:t>Kgosi Mashaba</w:t>
      </w:r>
      <w:r w:rsidR="00E24A57" w:rsidRPr="00E24A57">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4789FB7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D7439D" w:rsidRPr="00D7439D">
        <w:rPr>
          <w:rFonts w:ascii="Arial Narrow" w:hAnsi="Arial Narrow" w:cs="Arial"/>
          <w:b/>
          <w:color w:val="FF0000"/>
          <w:sz w:val="22"/>
          <w:szCs w:val="22"/>
        </w:rPr>
        <w:t>082 969 5515</w:t>
      </w:r>
    </w:p>
    <w:p w14:paraId="752C2E59" w14:textId="2634C5E0" w:rsidR="006C51D8" w:rsidRPr="00AA30B3"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AA30B3">
        <w:rPr>
          <w:rFonts w:ascii="Arial Narrow" w:hAnsi="Arial Narrow" w:cs="Arial"/>
          <w:b/>
          <w:color w:val="FF0000"/>
          <w:sz w:val="22"/>
          <w:szCs w:val="22"/>
        </w:rPr>
        <w:t xml:space="preserve">E-mail: </w:t>
      </w:r>
      <w:r w:rsidR="005576D6">
        <w:rPr>
          <w:rStyle w:val="Hyperlink"/>
          <w:rFonts w:ascii="Arial Narrow" w:hAnsi="Arial Narrow" w:cs="Arial"/>
          <w:b/>
          <w:sz w:val="22"/>
          <w:szCs w:val="22"/>
        </w:rPr>
        <w:t>Kgosi</w:t>
      </w:r>
      <w:r w:rsidR="00E52850" w:rsidRPr="00AA30B3">
        <w:rPr>
          <w:rStyle w:val="Hyperlink"/>
          <w:rFonts w:ascii="Arial Narrow" w:hAnsi="Arial Narrow" w:cs="Arial"/>
          <w:b/>
          <w:sz w:val="22"/>
          <w:szCs w:val="22"/>
        </w:rPr>
        <w:t>M</w:t>
      </w:r>
      <w:r w:rsidR="00534EFF" w:rsidRPr="00AA30B3">
        <w:rPr>
          <w:rStyle w:val="Hyperlink"/>
          <w:rFonts w:ascii="Arial Narrow" w:hAnsi="Arial Narrow" w:cs="Arial"/>
          <w:b/>
          <w:sz w:val="22"/>
          <w:szCs w:val="22"/>
        </w:rPr>
        <w:t xml:space="preserve">@nhbrc.org.za </w:t>
      </w:r>
      <w:r w:rsidR="001C44ED" w:rsidRPr="00AA30B3">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2529C"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417FA27" w:rsidR="004816D6" w:rsidRPr="00376D42" w:rsidRDefault="004816D6" w:rsidP="00FB6E8F">
            <w:pPr>
              <w:tabs>
                <w:tab w:val="left" w:pos="4402"/>
              </w:tabs>
              <w:spacing w:before="120" w:after="120"/>
              <w:ind w:left="858" w:hanging="858"/>
              <w:rPr>
                <w:rFonts w:ascii="Arial Narrow" w:hAnsi="Arial Narrow"/>
                <w:highlight w:val="yellow"/>
              </w:rPr>
            </w:pPr>
            <w:r w:rsidRPr="00376D42">
              <w:rPr>
                <w:rFonts w:ascii="Arial Narrow" w:hAnsi="Arial Narrow"/>
                <w:color w:val="FF0000"/>
                <w:sz w:val="22"/>
                <w:szCs w:val="22"/>
              </w:rPr>
              <w:t xml:space="preserve">E-mail: </w:t>
            </w:r>
            <w:r w:rsidRPr="00376D42">
              <w:rPr>
                <w:rFonts w:ascii="Arial Narrow" w:hAnsi="Arial Narrow"/>
                <w:color w:val="FF0000"/>
                <w:sz w:val="22"/>
                <w:szCs w:val="22"/>
              </w:rPr>
              <w:tab/>
            </w:r>
            <w:hyperlink r:id="rId17" w:history="1">
              <w:r w:rsidR="001A5D87" w:rsidRPr="00376D42">
                <w:rPr>
                  <w:rStyle w:val="Hyperlink"/>
                  <w:rFonts w:ascii="Arial Narrow" w:hAnsi="Arial Narrow" w:cs="Arial"/>
                  <w:sz w:val="22"/>
                  <w:szCs w:val="22"/>
                </w:rPr>
                <w:t>pheaham@nhbrc.org.za</w:t>
              </w:r>
            </w:hyperlink>
            <w:r w:rsidR="001A5D87" w:rsidRPr="00376D42">
              <w:rPr>
                <w:rFonts w:ascii="Arial Narrow" w:hAnsi="Arial Narrow" w:cs="Arial"/>
                <w:sz w:val="22"/>
                <w:szCs w:val="22"/>
              </w:rPr>
              <w:t xml:space="preserve"> </w:t>
            </w:r>
            <w:r w:rsidR="00376D42" w:rsidRPr="00376D42">
              <w:rPr>
                <w:rFonts w:ascii="Arial Narrow" w:hAnsi="Arial Narrow" w:cs="Arial"/>
                <w:color w:val="FF0000"/>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69712E80"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EP</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w:t>
            </w:r>
            <w:r w:rsidRPr="00CC6B49">
              <w:rPr>
                <w:rFonts w:ascii="Arial Narrow" w:hAnsi="Arial Narrow"/>
                <w:sz w:val="22"/>
                <w:szCs w:val="22"/>
              </w:rPr>
              <w:lastRenderedPageBreak/>
              <w:t xml:space="preserve">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2DD5C97C" w:rsidR="000D62DF" w:rsidRPr="007474C1" w:rsidRDefault="005B57EF" w:rsidP="00F317A9">
            <w:pPr>
              <w:pStyle w:val="Default"/>
              <w:spacing w:before="120" w:after="120" w:line="276" w:lineRule="auto"/>
              <w:jc w:val="both"/>
              <w:rPr>
                <w:rFonts w:ascii="Arial Narrow" w:hAnsi="Arial Narrow"/>
                <w:color w:val="FF0000"/>
                <w:sz w:val="22"/>
                <w:szCs w:val="22"/>
              </w:rPr>
            </w:pPr>
            <w:r w:rsidRPr="005B57EF">
              <w:rPr>
                <w:rFonts w:ascii="Arial Narrow" w:hAnsi="Arial Narrow"/>
                <w:color w:val="FF0000"/>
                <w:sz w:val="22"/>
                <w:szCs w:val="22"/>
              </w:rPr>
              <w:t>There will be no formal clarification meeting for this RFQ. Any tenderer who see it fit to visit the site may do so by arranging with Mr. Kgosi Mashaba at 082 969 5515 or KgosiM@nhbrc.org.za. The address of the site is NHBRC Eric Molobi Offices, 1618 Juventos Street, Block XX, Soshanguve, Tshwane</w:t>
            </w:r>
            <w:r w:rsidR="00982837">
              <w:rPr>
                <w:rFonts w:ascii="Arial Narrow" w:hAnsi="Arial Narrow"/>
                <w:color w:val="FF0000"/>
                <w:sz w:val="22"/>
                <w:szCs w:val="22"/>
              </w:rPr>
              <w:t>.</w:t>
            </w:r>
          </w:p>
          <w:p w14:paraId="444A0001" w14:textId="7AB47FB2" w:rsidR="00B35F60" w:rsidRPr="00CE6FDF" w:rsidRDefault="00B35F60" w:rsidP="000D62DF">
            <w:pPr>
              <w:spacing w:before="60" w:line="300" w:lineRule="auto"/>
              <w:jc w:val="both"/>
              <w:rPr>
                <w:rFonts w:ascii="Arial Narrow" w:hAnsi="Arial Narrow" w:cs="Arial"/>
                <w:sz w:val="22"/>
                <w:szCs w:val="22"/>
              </w:rPr>
            </w:pP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lastRenderedPageBreak/>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3104F2">
        <w:trPr>
          <w:trHeight w:val="15"/>
          <w:jc w:val="center"/>
        </w:trPr>
        <w:tc>
          <w:tcPr>
            <w:tcW w:w="1618"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F2AA436" w14:textId="341C261B"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5615EA" w:rsidRPr="00F57B04">
              <w:rPr>
                <w:rFonts w:ascii="Arial Narrow" w:hAnsi="Arial Narrow" w:cs="Arial"/>
                <w:color w:val="FF0000"/>
                <w:sz w:val="22"/>
                <w:szCs w:val="22"/>
                <w:highlight w:val="green"/>
              </w:rPr>
              <w:t>2</w:t>
            </w:r>
            <w:r w:rsidR="005E3FA8" w:rsidRPr="00F57B04">
              <w:rPr>
                <w:rFonts w:ascii="Arial Narrow" w:hAnsi="Arial Narrow" w:cs="Arial"/>
                <w:color w:val="FF0000"/>
                <w:sz w:val="22"/>
                <w:szCs w:val="22"/>
                <w:highlight w:val="green"/>
              </w:rPr>
              <w:t>1</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8FB9BEE"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F57B04" w:rsidRPr="00F57B04">
              <w:rPr>
                <w:rFonts w:ascii="Arial Narrow" w:hAnsi="Arial Narrow" w:cs="Arial"/>
                <w:b/>
                <w:color w:val="FF0000"/>
                <w:sz w:val="22"/>
                <w:szCs w:val="22"/>
              </w:rPr>
              <w:t>to supply and install 10kva Solar Power System at NHBRC Eric Molobi Laboratory in Soshanguve</w:t>
            </w:r>
            <w:bookmarkStart w:id="16" w:name="_Hlk129955243"/>
            <w:r w:rsidR="007353FA" w:rsidRPr="007353FA">
              <w:rPr>
                <w:rFonts w:ascii="Arial Narrow" w:hAnsi="Arial Narrow" w:cs="Arial"/>
                <w:b/>
                <w:color w:val="FF0000"/>
                <w:sz w:val="22"/>
                <w:szCs w:val="22"/>
              </w:rPr>
              <w:t xml:space="preserve">, </w:t>
            </w:r>
            <w:r w:rsidR="00302466" w:rsidRPr="00302466">
              <w:rPr>
                <w:rFonts w:ascii="Arial Narrow" w:hAnsi="Arial Narrow" w:cs="Arial"/>
                <w:b/>
                <w:color w:val="FF0000"/>
                <w:sz w:val="22"/>
                <w:szCs w:val="22"/>
              </w:rPr>
              <w:t>Gauteng Province</w:t>
            </w:r>
            <w:bookmarkEnd w:id="16"/>
            <w:r w:rsidR="00302466" w:rsidRPr="00302466">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FCDBF69" w14:textId="1A6A70BB" w:rsidR="00306C06" w:rsidRPr="005615EA" w:rsidRDefault="00B94620" w:rsidP="00686753">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F57B04">
              <w:rPr>
                <w:rFonts w:ascii="Arial Narrow" w:hAnsi="Arial Narrow" w:cs="Arial"/>
                <w:color w:val="FF0000"/>
                <w:sz w:val="22"/>
                <w:szCs w:val="22"/>
              </w:rPr>
              <w:t>i</w:t>
            </w:r>
            <w:r w:rsidRPr="002F30B8">
              <w:rPr>
                <w:rFonts w:ascii="Arial Narrow" w:hAnsi="Arial Narrow" w:cs="Arial"/>
                <w:color w:val="FF0000"/>
                <w:sz w:val="22"/>
                <w:szCs w:val="22"/>
              </w:rPr>
              <w:t xml:space="preserve">s envelope must contain the Returnables, SCM Documentation and Relevant 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of all the pages in this document, duly completed and signed</w:t>
            </w:r>
            <w:r w:rsidR="005615EA">
              <w:rPr>
                <w:rFonts w:ascii="Arial Narrow" w:hAnsi="Arial Narrow" w:cs="Arial"/>
                <w:color w:val="FF0000"/>
                <w:sz w:val="22"/>
                <w:szCs w:val="22"/>
              </w:rPr>
              <w:t>.</w:t>
            </w:r>
            <w:r w:rsidR="005615EA">
              <w:rPr>
                <w:rFonts w:ascii="Arial Narrow" w:hAnsi="Arial Narrow" w:cs="Arial"/>
                <w:b/>
                <w:bCs/>
                <w:color w:val="FF0000"/>
                <w:sz w:val="22"/>
                <w:szCs w:val="22"/>
              </w:rPr>
              <w:t xml:space="preserve"> </w:t>
            </w:r>
            <w:r w:rsidR="0058392B"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0058392B"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0058392B"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0058392B"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0058392B"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77777777"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quotations are clearly marked and are easily identifiable by the company’s logo or name. </w:t>
            </w:r>
          </w:p>
          <w:p w14:paraId="33BD6312" w14:textId="028244EB"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w:t>
            </w:r>
            <w:r w:rsidR="0027331E">
              <w:rPr>
                <w:rFonts w:ascii="Arial Narrow" w:hAnsi="Arial Narrow" w:cs="Arial"/>
                <w:color w:val="FF0000"/>
                <w:sz w:val="22"/>
                <w:szCs w:val="22"/>
              </w:rPr>
              <w:t>at the</w:t>
            </w:r>
            <w:r w:rsidRPr="002203C6">
              <w:rPr>
                <w:rFonts w:ascii="Arial Narrow" w:hAnsi="Arial Narrow"/>
                <w:bCs/>
                <w:color w:val="FF0000"/>
                <w:sz w:val="22"/>
                <w:szCs w:val="22"/>
              </w:rPr>
              <w:t xml:space="preserve"> </w:t>
            </w:r>
            <w:r w:rsidR="00115C4F">
              <w:rPr>
                <w:rFonts w:ascii="Arial Narrow" w:hAnsi="Arial Narrow"/>
                <w:bCs/>
                <w:color w:val="FF0000"/>
                <w:sz w:val="22"/>
                <w:szCs w:val="22"/>
              </w:rPr>
              <w:t>NHBRC</w:t>
            </w:r>
            <w:r w:rsidR="0027331E">
              <w:rPr>
                <w:rFonts w:ascii="Arial Narrow" w:hAnsi="Arial Narrow"/>
                <w:bCs/>
                <w:color w:val="FF0000"/>
                <w:sz w:val="22"/>
                <w:szCs w:val="22"/>
              </w:rPr>
              <w:t xml:space="preserve"> </w:t>
            </w:r>
            <w:r w:rsidR="00115C4F">
              <w:rPr>
                <w:rFonts w:ascii="Arial Narrow" w:hAnsi="Arial Narrow"/>
                <w:bCs/>
                <w:color w:val="FF0000"/>
                <w:sz w:val="22"/>
                <w:szCs w:val="22"/>
              </w:rPr>
              <w:t>Eric Molobi Centre</w:t>
            </w:r>
            <w:r w:rsidR="0027331E">
              <w:rPr>
                <w:rFonts w:ascii="Arial Narrow" w:hAnsi="Arial Narrow"/>
                <w:bCs/>
                <w:color w:val="FF0000"/>
                <w:sz w:val="22"/>
                <w:szCs w:val="22"/>
              </w:rPr>
              <w:t xml:space="preserve"> Offices</w:t>
            </w:r>
          </w:p>
          <w:p w14:paraId="038E6D81" w14:textId="1744A36D" w:rsidR="00B94620" w:rsidRPr="002203C6" w:rsidRDefault="00B94620" w:rsidP="00B94620">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NHBRC </w:t>
            </w:r>
            <w:r w:rsidR="00115C4F">
              <w:rPr>
                <w:rFonts w:ascii="Arial Narrow" w:hAnsi="Arial Narrow"/>
                <w:bCs/>
                <w:color w:val="FF0000"/>
                <w:sz w:val="22"/>
                <w:szCs w:val="22"/>
              </w:rPr>
              <w:t>Eric Molobi Centre</w:t>
            </w:r>
            <w:r w:rsidRPr="002203C6">
              <w:rPr>
                <w:rFonts w:ascii="Arial Narrow" w:hAnsi="Arial Narrow"/>
                <w:bCs/>
                <w:color w:val="FF0000"/>
                <w:sz w:val="22"/>
                <w:szCs w:val="22"/>
              </w:rPr>
              <w:t xml:space="preserve"> Office Reception</w:t>
            </w:r>
            <w:r w:rsidRPr="002203C6">
              <w:rPr>
                <w:rFonts w:ascii="Arial Narrow" w:hAnsi="Arial Narrow"/>
                <w:color w:val="FF0000"/>
                <w:sz w:val="22"/>
                <w:szCs w:val="22"/>
              </w:rPr>
              <w:t xml:space="preserve"> </w:t>
            </w:r>
          </w:p>
          <w:p w14:paraId="36F2AAFF" w14:textId="527EC137" w:rsidR="00115C4F" w:rsidRDefault="00B94620" w:rsidP="00B94620">
            <w:pPr>
              <w:spacing w:before="60" w:after="120" w:line="300" w:lineRule="auto"/>
              <w:jc w:val="both"/>
              <w:rPr>
                <w:rFonts w:ascii="Arial Narrow" w:hAnsi="Arial Narrow" w:cs="Arial"/>
                <w:bCs/>
                <w:color w:val="FF0000"/>
                <w:sz w:val="22"/>
                <w:szCs w:val="22"/>
              </w:rPr>
            </w:pPr>
            <w:r w:rsidRPr="002203C6">
              <w:rPr>
                <w:rFonts w:ascii="Arial Narrow" w:hAnsi="Arial Narrow"/>
                <w:bCs/>
                <w:color w:val="FF0000"/>
                <w:sz w:val="22"/>
                <w:szCs w:val="22"/>
              </w:rPr>
              <w:lastRenderedPageBreak/>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115C4F" w:rsidRPr="00115C4F">
              <w:rPr>
                <w:rFonts w:ascii="Arial Narrow" w:hAnsi="Arial Narrow" w:cs="Arial"/>
                <w:bCs/>
                <w:color w:val="FF0000"/>
                <w:sz w:val="22"/>
                <w:szCs w:val="22"/>
              </w:rPr>
              <w:t>1618 Juventos Street, Block XX, Soshanguve, Tshwane</w:t>
            </w:r>
            <w:r w:rsidR="00115C4F">
              <w:rPr>
                <w:rFonts w:ascii="Arial Narrow" w:hAnsi="Arial Narrow" w:cs="Arial"/>
                <w:bCs/>
                <w:color w:val="FF0000"/>
                <w:sz w:val="22"/>
                <w:szCs w:val="22"/>
              </w:rPr>
              <w:t>.</w:t>
            </w:r>
          </w:p>
          <w:p w14:paraId="6617BF2D" w14:textId="418FABE2" w:rsidR="00B94620" w:rsidRPr="00010088" w:rsidRDefault="00B94620" w:rsidP="00B94620">
            <w:pPr>
              <w:spacing w:before="60" w:after="120" w:line="300" w:lineRule="auto"/>
              <w:jc w:val="both"/>
              <w:rPr>
                <w:rFonts w:ascii="Arial Narrow" w:hAnsi="Arial Narrow" w:cs="Arial"/>
                <w:b/>
                <w:bCs/>
                <w:color w:val="FF0000"/>
                <w:sz w:val="22"/>
                <w:szCs w:val="22"/>
              </w:rPr>
            </w:pPr>
            <w:r w:rsidRPr="002203C6">
              <w:rPr>
                <w:rFonts w:ascii="Arial Narrow" w:hAnsi="Arial Narrow" w:cs="Arial"/>
                <w:color w:val="FF0000"/>
                <w:sz w:val="22"/>
                <w:szCs w:val="22"/>
              </w:rPr>
              <w:t xml:space="preserve">Identification details:  </w:t>
            </w:r>
            <w:r>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r w:rsidR="00115C4F">
              <w:rPr>
                <w:rFonts w:ascii="Arial Narrow" w:hAnsi="Arial Narrow" w:cs="Arial"/>
                <w:color w:val="FF0000"/>
                <w:sz w:val="22"/>
                <w:szCs w:val="22"/>
              </w:rPr>
              <w:t xml:space="preserve"> </w:t>
            </w:r>
            <w:r w:rsidR="00115C4F" w:rsidRPr="00115C4F">
              <w:rPr>
                <w:rFonts w:ascii="Arial Narrow" w:hAnsi="Arial Narrow" w:cs="Arial"/>
                <w:color w:val="FF0000"/>
                <w:sz w:val="22"/>
                <w:szCs w:val="22"/>
                <w:highlight w:val="yellow"/>
              </w:rPr>
              <w:t>(CURRENTLY MARKED SUGGESTION BOX)</w:t>
            </w:r>
          </w:p>
        </w:tc>
      </w:tr>
      <w:tr w:rsidR="00306C06" w:rsidRPr="0081516C" w14:paraId="487F45DD" w14:textId="77777777" w:rsidTr="003104F2">
        <w:trPr>
          <w:trHeight w:val="15"/>
          <w:jc w:val="center"/>
        </w:trPr>
        <w:tc>
          <w:tcPr>
            <w:tcW w:w="1618"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w:t>
            </w:r>
            <w:r w:rsidR="00866B2D">
              <w:rPr>
                <w:rFonts w:ascii="Arial Narrow" w:hAnsi="Arial Narrow" w:cs="Arial"/>
                <w:sz w:val="22"/>
                <w:szCs w:val="22"/>
              </w:rPr>
              <w:t>6</w:t>
            </w:r>
          </w:p>
        </w:tc>
        <w:tc>
          <w:tcPr>
            <w:tcW w:w="8705"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6E61CB9"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14AB6">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514AB6">
              <w:rPr>
                <w:rFonts w:ascii="Arial Narrow" w:hAnsi="Arial Narrow" w:cs="Arial"/>
                <w:color w:val="FF0000"/>
                <w:sz w:val="22"/>
                <w:szCs w:val="22"/>
              </w:rPr>
              <w:t>23</w:t>
            </w:r>
            <w:r w:rsidR="006A6ACD">
              <w:rPr>
                <w:rFonts w:ascii="Arial Narrow" w:hAnsi="Arial Narrow" w:cs="Arial"/>
                <w:color w:val="FF0000"/>
                <w:sz w:val="22"/>
                <w:szCs w:val="22"/>
              </w:rPr>
              <w:t xml:space="preserve"> </w:t>
            </w:r>
            <w:r w:rsidR="00514AB6">
              <w:rPr>
                <w:rFonts w:ascii="Arial Narrow" w:hAnsi="Arial Narrow" w:cs="Arial"/>
                <w:color w:val="FF0000"/>
                <w:sz w:val="22"/>
                <w:szCs w:val="22"/>
              </w:rPr>
              <w:t>June</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lastRenderedPageBreak/>
              <w:t>C2.2</w:t>
            </w:r>
            <w:r w:rsidR="00002E7D">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lastRenderedPageBreak/>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0492D1A4"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B66389">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B66389">
              <w:rPr>
                <w:rFonts w:ascii="Arial Narrow" w:hAnsi="Arial Narrow" w:cs="Arial"/>
                <w:color w:val="FF0000"/>
                <w:sz w:val="22"/>
                <w:szCs w:val="22"/>
                <w:highlight w:val="green"/>
              </w:rPr>
              <w:t>23</w:t>
            </w:r>
            <w:r>
              <w:rPr>
                <w:rFonts w:ascii="Arial Narrow" w:hAnsi="Arial Narrow" w:cs="Arial"/>
                <w:color w:val="FF0000"/>
                <w:sz w:val="22"/>
                <w:szCs w:val="22"/>
                <w:highlight w:val="green"/>
              </w:rPr>
              <w:t xml:space="preserve"> </w:t>
            </w:r>
            <w:r w:rsidR="00B66389">
              <w:rPr>
                <w:rFonts w:ascii="Arial Narrow" w:hAnsi="Arial Narrow" w:cs="Arial"/>
                <w:color w:val="FF0000"/>
                <w:sz w:val="22"/>
                <w:szCs w:val="22"/>
                <w:highlight w:val="green"/>
              </w:rPr>
              <w:t>June</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7DFD44F5" w14:textId="77777777" w:rsidR="0092761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p w14:paraId="7EC4745D" w14:textId="77777777" w:rsidR="0066352C" w:rsidRDefault="0066352C" w:rsidP="00424B98">
            <w:pPr>
              <w:spacing w:before="60" w:line="300" w:lineRule="auto"/>
              <w:jc w:val="both"/>
              <w:rPr>
                <w:rFonts w:ascii="Arial Narrow" w:hAnsi="Arial Narrow" w:cs="Arial"/>
                <w:sz w:val="22"/>
                <w:szCs w:val="22"/>
              </w:rPr>
            </w:pPr>
          </w:p>
          <w:p w14:paraId="022C7C68" w14:textId="784B6090" w:rsidR="0066352C" w:rsidRPr="00B225CF" w:rsidRDefault="0066352C" w:rsidP="00424B98">
            <w:pPr>
              <w:spacing w:before="60" w:line="300" w:lineRule="auto"/>
              <w:jc w:val="both"/>
              <w:rPr>
                <w:rFonts w:ascii="Arial Narrow" w:hAnsi="Arial Narrow"/>
                <w:b/>
                <w:bCs/>
                <w:sz w:val="22"/>
                <w:szCs w:val="22"/>
              </w:rPr>
            </w:pP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lastRenderedPageBreak/>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39B25F57"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t>
                  </w:r>
                  <w:r w:rsidR="00057DF3">
                    <w:rPr>
                      <w:rFonts w:ascii="Arial Narrow" w:hAnsi="Arial Narrow" w:cs="Arial"/>
                      <w:color w:val="FF0000"/>
                      <w:sz w:val="22"/>
                      <w:szCs w:val="22"/>
                    </w:rPr>
                    <w:t>on CSD as a vendor</w:t>
                  </w:r>
                  <w:r>
                    <w:rPr>
                      <w:rFonts w:ascii="Arial Narrow" w:hAnsi="Arial Narrow" w:cs="Arial"/>
                      <w:color w:val="FF0000"/>
                      <w:sz w:val="22"/>
                      <w:szCs w:val="22"/>
                    </w:rPr>
                    <w:t xml:space="preserve">.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6E626608"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EP</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lastRenderedPageBreak/>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Failure on the part of a tenderer to submit proof or documentation required in terms of this tender to </w:t>
                  </w:r>
                  <w:r w:rsidRPr="00565AE1">
                    <w:rPr>
                      <w:rFonts w:ascii="Arial Narrow" w:hAnsi="Arial Narrow" w:cs="Arial"/>
                      <w:bCs/>
                      <w:kern w:val="24"/>
                      <w:sz w:val="22"/>
                      <w:szCs w:val="22"/>
                    </w:rPr>
                    <w:lastRenderedPageBreak/>
                    <w:t>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77777777" w:rsidR="00DD21FE" w:rsidRDefault="00DD21F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90358">
              <w:rPr>
                <w:rFonts w:ascii="Arial Narrow" w:hAnsi="Arial Narrow" w:cs="Arial"/>
                <w:sz w:val="22"/>
                <w:szCs w:val="22"/>
                <w:lang w:eastAsia="en-US"/>
              </w:rPr>
            </w:r>
            <w:r w:rsidR="00690358">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9"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69ED9F7F"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D56C8A">
        <w:rPr>
          <w:color w:val="FF0000"/>
        </w:rPr>
        <w:t>SOLAR INSTALLATION</w:t>
      </w:r>
      <w:r w:rsidR="00397726" w:rsidRPr="00397726">
        <w:rPr>
          <w:color w:val="FF0000"/>
        </w:rPr>
        <w:t xml:space="preserve">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5364D4C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EP</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0C8321B"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D0570F" w:rsidRPr="00D0570F">
              <w:rPr>
                <w:rFonts w:ascii="Arial Narrow" w:hAnsi="Arial Narrow" w:cs="Arial"/>
                <w:b/>
                <w:bCs/>
                <w:color w:val="FF0000"/>
                <w:sz w:val="22"/>
                <w:szCs w:val="22"/>
              </w:rPr>
              <w:t>to supply and install 10kva Solar Power System at NHBRC Eric Molobi Laboratory in Soshanguve</w:t>
            </w:r>
            <w:r w:rsidR="00A61093" w:rsidRPr="00A61093">
              <w:rPr>
                <w:rFonts w:ascii="Arial Narrow" w:hAnsi="Arial Narrow" w:cs="Arial"/>
                <w:b/>
                <w:bCs/>
                <w:color w:val="FF0000"/>
                <w:sz w:val="22"/>
                <w:szCs w:val="22"/>
              </w:rPr>
              <w:t xml:space="preserve">, </w:t>
            </w:r>
            <w:r w:rsidR="003D519A" w:rsidRPr="003D519A">
              <w:rPr>
                <w:rFonts w:ascii="Arial Narrow" w:hAnsi="Arial Narrow" w:cs="Arial"/>
                <w:b/>
                <w:bCs/>
                <w:color w:val="FF0000"/>
                <w:sz w:val="22"/>
                <w:szCs w:val="22"/>
              </w:rPr>
              <w:t xml:space="preserve">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3" w:name="_Ref216575986"/>
      <w:bookmarkStart w:id="84" w:name="_Toc61950433"/>
      <w:r w:rsidRPr="005B0EF2">
        <w:rPr>
          <w:sz w:val="28"/>
        </w:rPr>
        <w:t>BILL OF QUANTITIES</w:t>
      </w:r>
      <w:bookmarkEnd w:id="83"/>
      <w:bookmarkEnd w:id="84"/>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2B697A8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5D135DEF" w:rsidR="003A06DE" w:rsidRPr="0015288E" w:rsidRDefault="00775D6B">
            <w:pPr>
              <w:rPr>
                <w:rFonts w:ascii="Arial Narrow" w:hAnsi="Arial Narrow"/>
                <w:color w:val="FF0000"/>
                <w:sz w:val="22"/>
                <w:szCs w:val="22"/>
              </w:rPr>
            </w:pPr>
            <w:r>
              <w:rPr>
                <w:rFonts w:ascii="Arial Narrow" w:hAnsi="Arial Narrow"/>
                <w:color w:val="FF0000"/>
                <w:sz w:val="22"/>
                <w:szCs w:val="22"/>
              </w:rPr>
              <w:object w:dxaOrig="1520" w:dyaOrig="987" w14:anchorId="4B078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pt;height:49.35pt" o:ole="">
                  <v:imagedata r:id="rId20" o:title=""/>
                </v:shape>
                <o:OLEObject Type="Embed" ProgID="Acrobat.Document.DC" ShapeID="_x0000_i1028" DrawAspect="Icon" ObjectID="_1747135758" r:id="rId21"/>
              </w:object>
            </w: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4C677CF1"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gridSpan w:val="0"/>
          </w:tcPr>
          <w:p w14:paraId="5305CC05" w14:textId="4C677CF1" w:rsidR="0015288E" w:rsidRPr="0015288E" w:rsidRDefault="00775D6B">
            <w:r>
              <w:object w:dxaOrig="1520" w:dyaOrig="987" w14:anchorId="39311872">
                <v:shape id="_x0000_i1027" type="#_x0000_t75" style="width:76pt;height:49.35pt" o:ole="">
                  <v:imagedata r:id="rId22" o:title=""/>
                </v:shape>
                <o:OLEObject Type="Embed" ProgID="Acrobat.Document.DC" ShapeID="_x0000_i1027" DrawAspect="Icon" ObjectID="_1747135759" r:id="rId23"/>
              </w:object>
            </w: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7"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3DF5D88D"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407F5" w:rsidRPr="000407F5">
        <w:rPr>
          <w:rFonts w:ascii="Arial Narrow" w:hAnsi="Arial Narrow"/>
          <w:color w:val="FF0000"/>
          <w:szCs w:val="22"/>
        </w:rPr>
        <w:t>1618 Juventos Street, Block</w:t>
      </w:r>
      <w:r w:rsidR="000407F5">
        <w:rPr>
          <w:rFonts w:ascii="Arial Narrow" w:hAnsi="Arial Narrow"/>
          <w:color w:val="FF0000"/>
          <w:szCs w:val="22"/>
        </w:rPr>
        <w:t xml:space="preserve"> </w:t>
      </w:r>
      <w:r w:rsidR="000407F5" w:rsidRPr="000407F5">
        <w:rPr>
          <w:rFonts w:ascii="Arial Narrow" w:hAnsi="Arial Narrow"/>
          <w:color w:val="FF0000"/>
          <w:szCs w:val="22"/>
          <w:lang w:val="en-ZA"/>
        </w:rPr>
        <w:t>XX, Soshanguve, Tshwane</w:t>
      </w:r>
      <w:r w:rsidR="007361F4" w:rsidRPr="000407F5">
        <w:rPr>
          <w:rFonts w:ascii="Arial Narrow" w:hAnsi="Arial Narrow"/>
          <w:color w:val="FF0000"/>
          <w:szCs w:val="22"/>
          <w:lang w:val="en-ZA"/>
        </w:rPr>
        <w:t xml:space="preserve">, </w:t>
      </w:r>
      <w:r w:rsidR="00061460" w:rsidRPr="000407F5">
        <w:rPr>
          <w:rFonts w:ascii="Arial Narrow" w:hAnsi="Arial Narrow"/>
          <w:color w:val="FF0000"/>
          <w:szCs w:val="22"/>
          <w:lang w:val="en-ZA"/>
        </w:rPr>
        <w:t>Gauteng Province</w:t>
      </w:r>
      <w:r w:rsidRPr="000407F5">
        <w:rPr>
          <w:rFonts w:ascii="Arial Narrow" w:hAnsi="Arial Narrow"/>
          <w:color w:val="FF0000"/>
          <w:szCs w:val="22"/>
          <w:lang w:val="en-ZA"/>
        </w:rPr>
        <w:t xml:space="preserve">. </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4"/>
      <w:headerReference w:type="default" r:id="rId25"/>
      <w:footerReference w:type="even" r:id="rId26"/>
      <w:headerReference w:type="first" r:id="rId27"/>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1638" w14:textId="77777777" w:rsidR="00690358" w:rsidRDefault="00690358">
      <w:r>
        <w:separator/>
      </w:r>
    </w:p>
  </w:endnote>
  <w:endnote w:type="continuationSeparator" w:id="0">
    <w:p w14:paraId="24095A01" w14:textId="77777777" w:rsidR="00690358" w:rsidRDefault="0069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7EA" w14:textId="77777777" w:rsidR="00690358" w:rsidRDefault="00690358">
      <w:r>
        <w:separator/>
      </w:r>
    </w:p>
  </w:footnote>
  <w:footnote w:type="continuationSeparator" w:id="0">
    <w:p w14:paraId="64BFAFD5" w14:textId="77777777" w:rsidR="00690358" w:rsidRDefault="00690358">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97BFD93" w:rsidR="001932CE" w:rsidRPr="00C27614" w:rsidRDefault="004320E1" w:rsidP="005C27DD">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APPOINTMENT OF A SUITABLE SERVICE PROVIDER TO SUPPLY AND INSTALL 10KVA SOLAR POWER SYSTEM AT NHBRC ERIC MOLOBI LABORATORY IN SOSHANGUVE</w:t>
    </w:r>
    <w:r w:rsidR="00215C7B" w:rsidRPr="00215C7B">
      <w:rPr>
        <w:rFonts w:ascii="Arial Narrow" w:hAnsi="Arial Narrow" w:cs="Arial"/>
        <w:b/>
        <w:color w:val="000000" w:themeColor="text1"/>
        <w:sz w:val="20"/>
        <w:szCs w:val="20"/>
      </w:rPr>
      <w:t>,</w:t>
    </w:r>
    <w:r w:rsidR="00215C7B">
      <w:rPr>
        <w:rFonts w:ascii="Arial Narrow" w:hAnsi="Arial Narrow" w:cs="Arial"/>
        <w:b/>
        <w:color w:val="000000" w:themeColor="text1"/>
        <w:sz w:val="20"/>
        <w:szCs w:val="20"/>
      </w:rPr>
      <w:t xml:space="preserve"> </w:t>
    </w:r>
    <w:r w:rsidR="00215C7B" w:rsidRPr="00215C7B">
      <w:rPr>
        <w:rFonts w:ascii="Arial Narrow" w:hAnsi="Arial Narrow" w:cs="Arial"/>
        <w:b/>
        <w:color w:val="000000" w:themeColor="text1"/>
        <w:sz w:val="20"/>
        <w:szCs w:val="20"/>
      </w:rPr>
      <w:t>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57E580D0"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APPOINTMENT OF A SUITABLE SERVICE PROVIDER TO SUPPLY AND INSTALL 10KVA SOLAR POWER SYSTEM AT NHBRC ERIC MOLOBI LABORATORY IN SOSHANGUVE</w:t>
    </w:r>
    <w:r w:rsidR="00557B31" w:rsidRPr="00557B31">
      <w:rPr>
        <w:rFonts w:ascii="Arial Narrow" w:hAnsi="Arial Narrow" w:cs="Arial"/>
        <w:b/>
        <w:color w:val="000000" w:themeColor="text1"/>
        <w:sz w:val="20"/>
        <w:szCs w:val="20"/>
      </w:rPr>
      <w:t>,</w:t>
    </w:r>
    <w:r w:rsidR="00557B31">
      <w:rPr>
        <w:rFonts w:ascii="Arial Narrow" w:hAnsi="Arial Narrow" w:cs="Arial"/>
        <w:b/>
        <w:color w:val="000000" w:themeColor="text1"/>
        <w:sz w:val="20"/>
        <w:szCs w:val="20"/>
      </w:rPr>
      <w:t xml:space="preserve"> </w:t>
    </w:r>
    <w:r w:rsidR="00557B31" w:rsidRPr="00557B31">
      <w:rPr>
        <w:rFonts w:ascii="Arial Narrow" w:hAnsi="Arial Narrow" w:cs="Arial"/>
        <w:b/>
        <w:color w:val="000000" w:themeColor="text1"/>
        <w:sz w:val="20"/>
        <w:szCs w:val="20"/>
      </w:rPr>
      <w:t>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8F8"/>
    <w:rsid w:val="001B5A18"/>
    <w:rsid w:val="001B695F"/>
    <w:rsid w:val="001C06CD"/>
    <w:rsid w:val="001C197F"/>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D9C"/>
    <w:rsid w:val="00600D48"/>
    <w:rsid w:val="006010A3"/>
    <w:rsid w:val="00601A03"/>
    <w:rsid w:val="0060207D"/>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235"/>
    <w:rsid w:val="007B76F6"/>
    <w:rsid w:val="007B7ACE"/>
    <w:rsid w:val="007C066A"/>
    <w:rsid w:val="007C3101"/>
    <w:rsid w:val="007C35EE"/>
    <w:rsid w:val="007C3711"/>
    <w:rsid w:val="007C3A2B"/>
    <w:rsid w:val="007C487E"/>
    <w:rsid w:val="007C5F8E"/>
    <w:rsid w:val="007C69E0"/>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4A52"/>
    <w:rsid w:val="00C66451"/>
    <w:rsid w:val="00C675D4"/>
    <w:rsid w:val="00C67715"/>
    <w:rsid w:val="00C702EC"/>
    <w:rsid w:val="00C70E22"/>
    <w:rsid w:val="00C7123C"/>
    <w:rsid w:val="00C71FE5"/>
    <w:rsid w:val="00C72892"/>
    <w:rsid w:val="00C753DA"/>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70F"/>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6C8A"/>
    <w:rsid w:val="00D573E9"/>
    <w:rsid w:val="00D60C8E"/>
    <w:rsid w:val="00D6186D"/>
    <w:rsid w:val="00D65BEC"/>
    <w:rsid w:val="00D6683F"/>
    <w:rsid w:val="00D66FE9"/>
    <w:rsid w:val="00D67FD9"/>
    <w:rsid w:val="00D71228"/>
    <w:rsid w:val="00D724F5"/>
    <w:rsid w:val="00D72ACD"/>
    <w:rsid w:val="00D73187"/>
    <w:rsid w:val="00D7367E"/>
    <w:rsid w:val="00D740C9"/>
    <w:rsid w:val="00D7439D"/>
    <w:rsid w:val="00D751E7"/>
    <w:rsid w:val="00D75F65"/>
    <w:rsid w:val="00D80869"/>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971"/>
    <w:rsid w:val="00E1470D"/>
    <w:rsid w:val="00E14F6C"/>
    <w:rsid w:val="00E15241"/>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egisters.cidb.org.za/common/jvcalc.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gosiM@nhbrc.org.za" TargetMode="External"/><Relationship Id="rId22" Type="http://schemas.openxmlformats.org/officeDocument/2006/relationships/image" Target="media/image4.e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14335</Words>
  <Characters>81716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95860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132</cp:revision>
  <cp:lastPrinted>2019-04-12T07:22:00Z</cp:lastPrinted>
  <dcterms:created xsi:type="dcterms:W3CDTF">2023-03-30T08:11:00Z</dcterms:created>
  <dcterms:modified xsi:type="dcterms:W3CDTF">2023-06-01T12:42:00Z</dcterms:modified>
</cp:coreProperties>
</file>